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EA" w:rsidRPr="009F35EA" w:rsidRDefault="009F35EA" w:rsidP="009F35EA">
      <w:pPr>
        <w:pStyle w:val="ConsPlusTitlePage"/>
        <w:rPr>
          <w:rFonts w:ascii="Times New Roman" w:hAnsi="Times New Roman" w:cs="Times New Roman"/>
          <w:sz w:val="22"/>
          <w:szCs w:val="22"/>
        </w:rPr>
      </w:pPr>
      <w:r w:rsidRPr="009F35EA">
        <w:rPr>
          <w:rFonts w:ascii="Times New Roman" w:hAnsi="Times New Roman" w:cs="Times New Roman"/>
          <w:sz w:val="22"/>
          <w:szCs w:val="22"/>
        </w:rPr>
        <w:t xml:space="preserve">Документ предоставлен </w:t>
      </w:r>
      <w:hyperlink r:id="rId4" w:history="1">
        <w:proofErr w:type="spellStart"/>
        <w:r w:rsidRPr="009F35EA">
          <w:rPr>
            <w:rFonts w:ascii="Times New Roman" w:hAnsi="Times New Roman" w:cs="Times New Roman"/>
            <w:color w:val="0000FF"/>
            <w:sz w:val="22"/>
            <w:szCs w:val="22"/>
          </w:rPr>
          <w:t>КонсультантПлюс</w:t>
        </w:r>
        <w:proofErr w:type="spellEnd"/>
      </w:hyperlink>
      <w:r w:rsidRPr="009F35EA">
        <w:rPr>
          <w:rFonts w:ascii="Times New Roman" w:hAnsi="Times New Roman" w:cs="Times New Roman"/>
          <w:sz w:val="22"/>
          <w:szCs w:val="22"/>
        </w:rPr>
        <w:br/>
      </w:r>
    </w:p>
    <w:p w:rsidR="009F35EA" w:rsidRPr="009F35EA" w:rsidRDefault="009F35EA" w:rsidP="009F35EA">
      <w:pPr>
        <w:pStyle w:val="ConsPlusNormal"/>
        <w:jc w:val="both"/>
        <w:outlineLvl w:val="0"/>
        <w:rPr>
          <w:rFonts w:ascii="Times New Roman" w:hAnsi="Times New Roman" w:cs="Times New Roman"/>
          <w:szCs w:val="22"/>
        </w:rPr>
      </w:pPr>
    </w:p>
    <w:p w:rsidR="009F35EA" w:rsidRPr="009F35EA" w:rsidRDefault="009F35EA" w:rsidP="009F35EA">
      <w:pPr>
        <w:pStyle w:val="ConsPlusTitle"/>
        <w:jc w:val="center"/>
        <w:outlineLvl w:val="0"/>
        <w:rPr>
          <w:rFonts w:ascii="Times New Roman" w:hAnsi="Times New Roman" w:cs="Times New Roman"/>
          <w:szCs w:val="22"/>
        </w:rPr>
      </w:pPr>
      <w:r w:rsidRPr="009F35EA">
        <w:rPr>
          <w:rFonts w:ascii="Times New Roman" w:hAnsi="Times New Roman" w:cs="Times New Roman"/>
          <w:szCs w:val="22"/>
        </w:rPr>
        <w:t>ПРАВИТЕЛЬСТВО ЯРОСЛАВСКОЙ ОБЛАСТИ</w:t>
      </w:r>
    </w:p>
    <w:p w:rsidR="009F35EA" w:rsidRPr="009F35EA" w:rsidRDefault="009F35EA" w:rsidP="009F35EA">
      <w:pPr>
        <w:pStyle w:val="ConsPlusTitle"/>
        <w:jc w:val="center"/>
        <w:rPr>
          <w:rFonts w:ascii="Times New Roman" w:hAnsi="Times New Roman" w:cs="Times New Roman"/>
          <w:szCs w:val="22"/>
        </w:rPr>
      </w:pPr>
    </w:p>
    <w:p w:rsidR="009F35EA" w:rsidRPr="009F35EA" w:rsidRDefault="009F35EA" w:rsidP="009F35EA">
      <w:pPr>
        <w:pStyle w:val="ConsPlusTitle"/>
        <w:jc w:val="center"/>
        <w:rPr>
          <w:rFonts w:ascii="Times New Roman" w:hAnsi="Times New Roman" w:cs="Times New Roman"/>
          <w:szCs w:val="22"/>
        </w:rPr>
      </w:pPr>
      <w:r w:rsidRPr="009F35EA">
        <w:rPr>
          <w:rFonts w:ascii="Times New Roman" w:hAnsi="Times New Roman" w:cs="Times New Roman"/>
          <w:szCs w:val="22"/>
        </w:rPr>
        <w:t>ПОСТАНОВЛЕНИЕ</w:t>
      </w:r>
    </w:p>
    <w:p w:rsidR="009F35EA" w:rsidRPr="009F35EA" w:rsidRDefault="009F35EA" w:rsidP="009F35EA">
      <w:pPr>
        <w:pStyle w:val="ConsPlusTitle"/>
        <w:jc w:val="center"/>
        <w:rPr>
          <w:rFonts w:ascii="Times New Roman" w:hAnsi="Times New Roman" w:cs="Times New Roman"/>
          <w:szCs w:val="22"/>
        </w:rPr>
      </w:pPr>
      <w:r w:rsidRPr="009F35EA">
        <w:rPr>
          <w:rFonts w:ascii="Times New Roman" w:hAnsi="Times New Roman" w:cs="Times New Roman"/>
          <w:szCs w:val="22"/>
        </w:rPr>
        <w:t>от 11 декабря 2015 г. N 1340-п</w:t>
      </w:r>
    </w:p>
    <w:p w:rsidR="009F35EA" w:rsidRPr="009F35EA" w:rsidRDefault="009F35EA" w:rsidP="009F35EA">
      <w:pPr>
        <w:pStyle w:val="ConsPlusTitle"/>
        <w:jc w:val="center"/>
        <w:rPr>
          <w:rFonts w:ascii="Times New Roman" w:hAnsi="Times New Roman" w:cs="Times New Roman"/>
          <w:szCs w:val="22"/>
        </w:rPr>
      </w:pPr>
    </w:p>
    <w:p w:rsidR="009F35EA" w:rsidRPr="009F35EA" w:rsidRDefault="009F35EA" w:rsidP="009F35EA">
      <w:pPr>
        <w:pStyle w:val="ConsPlusTitle"/>
        <w:jc w:val="center"/>
        <w:rPr>
          <w:rFonts w:ascii="Times New Roman" w:hAnsi="Times New Roman" w:cs="Times New Roman"/>
          <w:szCs w:val="22"/>
        </w:rPr>
      </w:pPr>
      <w:r w:rsidRPr="009F35EA">
        <w:rPr>
          <w:rFonts w:ascii="Times New Roman" w:hAnsi="Times New Roman" w:cs="Times New Roman"/>
          <w:szCs w:val="22"/>
        </w:rPr>
        <w:t xml:space="preserve">ОБ УТВЕРЖДЕНИИ РЕГИОНАЛЬНЫХ НОРМАТИВОВ </w:t>
      </w:r>
      <w:proofErr w:type="gramStart"/>
      <w:r w:rsidRPr="009F35EA">
        <w:rPr>
          <w:rFonts w:ascii="Times New Roman" w:hAnsi="Times New Roman" w:cs="Times New Roman"/>
          <w:szCs w:val="22"/>
        </w:rPr>
        <w:t>ГРАДОСТРОИТЕЛЬНОГО</w:t>
      </w:r>
      <w:proofErr w:type="gramEnd"/>
    </w:p>
    <w:p w:rsidR="009F35EA" w:rsidRPr="009F35EA" w:rsidRDefault="009F35EA" w:rsidP="009F35EA">
      <w:pPr>
        <w:pStyle w:val="ConsPlusTitle"/>
        <w:jc w:val="center"/>
        <w:rPr>
          <w:rFonts w:ascii="Times New Roman" w:hAnsi="Times New Roman" w:cs="Times New Roman"/>
          <w:szCs w:val="22"/>
        </w:rPr>
      </w:pPr>
      <w:r w:rsidRPr="009F35EA">
        <w:rPr>
          <w:rFonts w:ascii="Times New Roman" w:hAnsi="Times New Roman" w:cs="Times New Roman"/>
          <w:szCs w:val="22"/>
        </w:rPr>
        <w:t xml:space="preserve">ПРОЕКТИРОВАНИЯ ЯРОСЛАВСКОЙ ОБЛАСТИ И ПРИЗНАНИИ </w:t>
      </w:r>
      <w:proofErr w:type="gramStart"/>
      <w:r w:rsidRPr="009F35EA">
        <w:rPr>
          <w:rFonts w:ascii="Times New Roman" w:hAnsi="Times New Roman" w:cs="Times New Roman"/>
          <w:szCs w:val="22"/>
        </w:rPr>
        <w:t>УТРАТИВШИМИ</w:t>
      </w:r>
      <w:proofErr w:type="gramEnd"/>
    </w:p>
    <w:p w:rsidR="009F35EA" w:rsidRPr="009F35EA" w:rsidRDefault="009F35EA" w:rsidP="009F35EA">
      <w:pPr>
        <w:pStyle w:val="ConsPlusTitle"/>
        <w:jc w:val="center"/>
        <w:rPr>
          <w:rFonts w:ascii="Times New Roman" w:hAnsi="Times New Roman" w:cs="Times New Roman"/>
          <w:szCs w:val="22"/>
        </w:rPr>
      </w:pPr>
      <w:r w:rsidRPr="009F35EA">
        <w:rPr>
          <w:rFonts w:ascii="Times New Roman" w:hAnsi="Times New Roman" w:cs="Times New Roman"/>
          <w:szCs w:val="22"/>
        </w:rPr>
        <w:t xml:space="preserve">СИЛУ И ЧАСТИЧНО </w:t>
      </w:r>
      <w:proofErr w:type="gramStart"/>
      <w:r w:rsidRPr="009F35EA">
        <w:rPr>
          <w:rFonts w:ascii="Times New Roman" w:hAnsi="Times New Roman" w:cs="Times New Roman"/>
          <w:szCs w:val="22"/>
        </w:rPr>
        <w:t>УТРАТИВШИМИ</w:t>
      </w:r>
      <w:proofErr w:type="gramEnd"/>
      <w:r w:rsidRPr="009F35EA">
        <w:rPr>
          <w:rFonts w:ascii="Times New Roman" w:hAnsi="Times New Roman" w:cs="Times New Roman"/>
          <w:szCs w:val="22"/>
        </w:rPr>
        <w:t xml:space="preserve"> СИЛУ ОТДЕЛЬНЫХ НОРМАТИВНЫХ</w:t>
      </w:r>
    </w:p>
    <w:p w:rsidR="009F35EA" w:rsidRPr="009F35EA" w:rsidRDefault="009F35EA" w:rsidP="009F35EA">
      <w:pPr>
        <w:pStyle w:val="ConsPlusTitle"/>
        <w:jc w:val="center"/>
        <w:rPr>
          <w:rFonts w:ascii="Times New Roman" w:hAnsi="Times New Roman" w:cs="Times New Roman"/>
          <w:szCs w:val="22"/>
        </w:rPr>
      </w:pPr>
      <w:r w:rsidRPr="009F35EA">
        <w:rPr>
          <w:rFonts w:ascii="Times New Roman" w:hAnsi="Times New Roman" w:cs="Times New Roman"/>
          <w:szCs w:val="22"/>
        </w:rPr>
        <w:t>ПРАВОВЫХ АКТОВ</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В соответствии с Градостроительным </w:t>
      </w:r>
      <w:hyperlink r:id="rId5" w:history="1">
        <w:r w:rsidRPr="009F35EA">
          <w:rPr>
            <w:rFonts w:ascii="Times New Roman" w:hAnsi="Times New Roman" w:cs="Times New Roman"/>
            <w:color w:val="0000FF"/>
            <w:szCs w:val="22"/>
          </w:rPr>
          <w:t>кодексом</w:t>
        </w:r>
      </w:hyperlink>
      <w:r w:rsidRPr="009F35EA">
        <w:rPr>
          <w:rFonts w:ascii="Times New Roman" w:hAnsi="Times New Roman" w:cs="Times New Roman"/>
          <w:szCs w:val="22"/>
        </w:rPr>
        <w:t xml:space="preserve"> Российской Федерации, </w:t>
      </w:r>
      <w:hyperlink r:id="rId6" w:history="1">
        <w:r w:rsidRPr="009F35EA">
          <w:rPr>
            <w:rFonts w:ascii="Times New Roman" w:hAnsi="Times New Roman" w:cs="Times New Roman"/>
            <w:color w:val="0000FF"/>
            <w:szCs w:val="22"/>
          </w:rPr>
          <w:t>Законом</w:t>
        </w:r>
      </w:hyperlink>
      <w:r w:rsidRPr="009F35EA">
        <w:rPr>
          <w:rFonts w:ascii="Times New Roman" w:hAnsi="Times New Roman" w:cs="Times New Roman"/>
          <w:szCs w:val="22"/>
        </w:rPr>
        <w:t xml:space="preserve"> Ярославской области от 11 октября 2006 г. N 66-з "О градостроительной деятельности на территории Ярославской области" и в целях приведения нормативных правовых актов Ярославской области в соответствие с действующим законодательством</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ПРАВИТЕЛЬСТВО ОБЛАСТИ ПОСТАНОВЛЯЕТ:</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1. Утвердить прилагаемые региональные </w:t>
      </w:r>
      <w:hyperlink w:anchor="P50" w:history="1">
        <w:r w:rsidRPr="009F35EA">
          <w:rPr>
            <w:rFonts w:ascii="Times New Roman" w:hAnsi="Times New Roman" w:cs="Times New Roman"/>
            <w:color w:val="0000FF"/>
            <w:szCs w:val="22"/>
          </w:rPr>
          <w:t>нормативы</w:t>
        </w:r>
      </w:hyperlink>
      <w:r w:rsidRPr="009F35EA">
        <w:rPr>
          <w:rFonts w:ascii="Times New Roman" w:hAnsi="Times New Roman" w:cs="Times New Roman"/>
          <w:szCs w:val="22"/>
        </w:rPr>
        <w:t xml:space="preserve"> градостроительного проектирования Ярославской области.</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2. Признать утратившими силу:</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 </w:t>
      </w:r>
      <w:hyperlink r:id="rId7" w:history="1">
        <w:r w:rsidRPr="009F35EA">
          <w:rPr>
            <w:rFonts w:ascii="Times New Roman" w:hAnsi="Times New Roman" w:cs="Times New Roman"/>
            <w:color w:val="0000FF"/>
            <w:szCs w:val="22"/>
          </w:rPr>
          <w:t>постановление</w:t>
        </w:r>
      </w:hyperlink>
      <w:r w:rsidRPr="009F35EA">
        <w:rPr>
          <w:rFonts w:ascii="Times New Roman" w:hAnsi="Times New Roman" w:cs="Times New Roman"/>
          <w:szCs w:val="22"/>
        </w:rPr>
        <w:t xml:space="preserve"> Администрации области от 13.02.2008 N 33-а "Об утверждении региональных нормативов градостроительного проектирования Ярославской области";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постановления Правительства области: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от 09.07.2008 </w:t>
      </w:r>
      <w:hyperlink r:id="rId8" w:history="1">
        <w:r w:rsidRPr="009F35EA">
          <w:rPr>
            <w:rFonts w:ascii="Times New Roman" w:hAnsi="Times New Roman" w:cs="Times New Roman"/>
            <w:color w:val="0000FF"/>
            <w:szCs w:val="22"/>
          </w:rPr>
          <w:t>N 342-п</w:t>
        </w:r>
      </w:hyperlink>
      <w:r w:rsidRPr="009F35EA">
        <w:rPr>
          <w:rFonts w:ascii="Times New Roman" w:hAnsi="Times New Roman" w:cs="Times New Roman"/>
          <w:szCs w:val="22"/>
        </w:rPr>
        <w:t xml:space="preserve"> "О внесении изменений в постановление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от 08.04.2009 </w:t>
      </w:r>
      <w:hyperlink r:id="rId9" w:history="1">
        <w:r w:rsidRPr="009F35EA">
          <w:rPr>
            <w:rFonts w:ascii="Times New Roman" w:hAnsi="Times New Roman" w:cs="Times New Roman"/>
            <w:color w:val="0000FF"/>
            <w:szCs w:val="22"/>
          </w:rPr>
          <w:t>N 310-п</w:t>
        </w:r>
      </w:hyperlink>
      <w:r w:rsidRPr="009F35EA">
        <w:rPr>
          <w:rFonts w:ascii="Times New Roman" w:hAnsi="Times New Roman" w:cs="Times New Roman"/>
          <w:szCs w:val="22"/>
        </w:rPr>
        <w:t xml:space="preserve"> "О внесении изменений в постановление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от 15.12.2010 </w:t>
      </w:r>
      <w:hyperlink r:id="rId10" w:history="1">
        <w:r w:rsidRPr="009F35EA">
          <w:rPr>
            <w:rFonts w:ascii="Times New Roman" w:hAnsi="Times New Roman" w:cs="Times New Roman"/>
            <w:color w:val="0000FF"/>
            <w:szCs w:val="22"/>
          </w:rPr>
          <w:t>N 932-п</w:t>
        </w:r>
      </w:hyperlink>
      <w:r w:rsidRPr="009F35EA">
        <w:rPr>
          <w:rFonts w:ascii="Times New Roman" w:hAnsi="Times New Roman" w:cs="Times New Roman"/>
          <w:szCs w:val="22"/>
        </w:rPr>
        <w:t xml:space="preserve"> "О внесении изменений в постановление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от 15.04.2011 </w:t>
      </w:r>
      <w:hyperlink r:id="rId11" w:history="1">
        <w:r w:rsidRPr="009F35EA">
          <w:rPr>
            <w:rFonts w:ascii="Times New Roman" w:hAnsi="Times New Roman" w:cs="Times New Roman"/>
            <w:color w:val="0000FF"/>
            <w:szCs w:val="22"/>
          </w:rPr>
          <w:t>N 243-п</w:t>
        </w:r>
      </w:hyperlink>
      <w:r w:rsidRPr="009F35EA">
        <w:rPr>
          <w:rFonts w:ascii="Times New Roman" w:hAnsi="Times New Roman" w:cs="Times New Roman"/>
          <w:szCs w:val="22"/>
        </w:rPr>
        <w:t xml:space="preserve"> "О внесении изменений в постановление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от 23.05.2011 </w:t>
      </w:r>
      <w:hyperlink r:id="rId12" w:history="1">
        <w:r w:rsidRPr="009F35EA">
          <w:rPr>
            <w:rFonts w:ascii="Times New Roman" w:hAnsi="Times New Roman" w:cs="Times New Roman"/>
            <w:color w:val="0000FF"/>
            <w:szCs w:val="22"/>
          </w:rPr>
          <w:t>N 380-п</w:t>
        </w:r>
      </w:hyperlink>
      <w:r w:rsidRPr="009F35EA">
        <w:rPr>
          <w:rFonts w:ascii="Times New Roman" w:hAnsi="Times New Roman" w:cs="Times New Roman"/>
          <w:szCs w:val="22"/>
        </w:rPr>
        <w:t xml:space="preserve"> "О внесении изменений в постановление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от 24.11.2011 </w:t>
      </w:r>
      <w:hyperlink r:id="rId13" w:history="1">
        <w:r w:rsidRPr="009F35EA">
          <w:rPr>
            <w:rFonts w:ascii="Times New Roman" w:hAnsi="Times New Roman" w:cs="Times New Roman"/>
            <w:color w:val="0000FF"/>
            <w:szCs w:val="22"/>
          </w:rPr>
          <w:t>N 931-п</w:t>
        </w:r>
      </w:hyperlink>
      <w:r w:rsidRPr="009F35EA">
        <w:rPr>
          <w:rFonts w:ascii="Times New Roman" w:hAnsi="Times New Roman" w:cs="Times New Roman"/>
          <w:szCs w:val="22"/>
        </w:rPr>
        <w:t xml:space="preserve"> "О внесении изменений в постановление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от 11.07.2012 </w:t>
      </w:r>
      <w:hyperlink r:id="rId14" w:history="1">
        <w:r w:rsidRPr="009F35EA">
          <w:rPr>
            <w:rFonts w:ascii="Times New Roman" w:hAnsi="Times New Roman" w:cs="Times New Roman"/>
            <w:color w:val="0000FF"/>
            <w:szCs w:val="22"/>
          </w:rPr>
          <w:t>N 624-п</w:t>
        </w:r>
      </w:hyperlink>
      <w:r w:rsidRPr="009F35EA">
        <w:rPr>
          <w:rFonts w:ascii="Times New Roman" w:hAnsi="Times New Roman" w:cs="Times New Roman"/>
          <w:szCs w:val="22"/>
        </w:rPr>
        <w:t xml:space="preserve"> "О внесении изменения в постановление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от 28.11.2012 </w:t>
      </w:r>
      <w:hyperlink r:id="rId15" w:history="1">
        <w:r w:rsidRPr="009F35EA">
          <w:rPr>
            <w:rFonts w:ascii="Times New Roman" w:hAnsi="Times New Roman" w:cs="Times New Roman"/>
            <w:color w:val="0000FF"/>
            <w:szCs w:val="22"/>
          </w:rPr>
          <w:t>N 1322-п</w:t>
        </w:r>
      </w:hyperlink>
      <w:r w:rsidRPr="009F35EA">
        <w:rPr>
          <w:rFonts w:ascii="Times New Roman" w:hAnsi="Times New Roman" w:cs="Times New Roman"/>
          <w:szCs w:val="22"/>
        </w:rPr>
        <w:t xml:space="preserve"> "О внесении изменений в постановление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от 03.04.2013 </w:t>
      </w:r>
      <w:hyperlink r:id="rId16" w:history="1">
        <w:r w:rsidRPr="009F35EA">
          <w:rPr>
            <w:rFonts w:ascii="Times New Roman" w:hAnsi="Times New Roman" w:cs="Times New Roman"/>
            <w:color w:val="0000FF"/>
            <w:szCs w:val="22"/>
          </w:rPr>
          <w:t>N 325-п</w:t>
        </w:r>
      </w:hyperlink>
      <w:r w:rsidRPr="009F35EA">
        <w:rPr>
          <w:rFonts w:ascii="Times New Roman" w:hAnsi="Times New Roman" w:cs="Times New Roman"/>
          <w:szCs w:val="22"/>
        </w:rPr>
        <w:t xml:space="preserve"> "О внесении изменения в постановление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от 09.09.2013 </w:t>
      </w:r>
      <w:hyperlink r:id="rId17" w:history="1">
        <w:r w:rsidRPr="009F35EA">
          <w:rPr>
            <w:rFonts w:ascii="Times New Roman" w:hAnsi="Times New Roman" w:cs="Times New Roman"/>
            <w:color w:val="0000FF"/>
            <w:szCs w:val="22"/>
          </w:rPr>
          <w:t>N 1217-п</w:t>
        </w:r>
      </w:hyperlink>
      <w:r w:rsidRPr="009F35EA">
        <w:rPr>
          <w:rFonts w:ascii="Times New Roman" w:hAnsi="Times New Roman" w:cs="Times New Roman"/>
          <w:szCs w:val="22"/>
        </w:rPr>
        <w:t xml:space="preserve"> "О внесении изменений в постановление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от 29.05.2014 </w:t>
      </w:r>
      <w:hyperlink r:id="rId18" w:history="1">
        <w:r w:rsidRPr="009F35EA">
          <w:rPr>
            <w:rFonts w:ascii="Times New Roman" w:hAnsi="Times New Roman" w:cs="Times New Roman"/>
            <w:color w:val="0000FF"/>
            <w:szCs w:val="22"/>
          </w:rPr>
          <w:t>N 508-п</w:t>
        </w:r>
      </w:hyperlink>
      <w:r w:rsidRPr="009F35EA">
        <w:rPr>
          <w:rFonts w:ascii="Times New Roman" w:hAnsi="Times New Roman" w:cs="Times New Roman"/>
          <w:szCs w:val="22"/>
        </w:rPr>
        <w:t xml:space="preserve"> "О внесении изменений в постановление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 </w:t>
      </w:r>
      <w:hyperlink r:id="rId19" w:history="1">
        <w:r w:rsidRPr="009F35EA">
          <w:rPr>
            <w:rFonts w:ascii="Times New Roman" w:hAnsi="Times New Roman" w:cs="Times New Roman"/>
            <w:color w:val="0000FF"/>
            <w:szCs w:val="22"/>
          </w:rPr>
          <w:t>пункт 11</w:t>
        </w:r>
      </w:hyperlink>
      <w:r w:rsidRPr="009F35EA">
        <w:rPr>
          <w:rFonts w:ascii="Times New Roman" w:hAnsi="Times New Roman" w:cs="Times New Roman"/>
          <w:szCs w:val="22"/>
        </w:rPr>
        <w:t xml:space="preserve"> постановления Правительства области от 09.07.2009 N 687-п "О внесении изменений в отдельные нормативные правовые акты и признании </w:t>
      </w:r>
      <w:proofErr w:type="gramStart"/>
      <w:r w:rsidRPr="009F35EA">
        <w:rPr>
          <w:rFonts w:ascii="Times New Roman" w:hAnsi="Times New Roman" w:cs="Times New Roman"/>
          <w:szCs w:val="22"/>
        </w:rPr>
        <w:t>утратившими</w:t>
      </w:r>
      <w:proofErr w:type="gramEnd"/>
      <w:r w:rsidRPr="009F35EA">
        <w:rPr>
          <w:rFonts w:ascii="Times New Roman" w:hAnsi="Times New Roman" w:cs="Times New Roman"/>
          <w:szCs w:val="22"/>
        </w:rPr>
        <w:t xml:space="preserve"> силу отдельных нормативных правовых актов Ярославской области".</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3. </w:t>
      </w:r>
      <w:proofErr w:type="gramStart"/>
      <w:r w:rsidRPr="009F35EA">
        <w:rPr>
          <w:rFonts w:ascii="Times New Roman" w:hAnsi="Times New Roman" w:cs="Times New Roman"/>
          <w:szCs w:val="22"/>
        </w:rPr>
        <w:t>Контроль за</w:t>
      </w:r>
      <w:proofErr w:type="gramEnd"/>
      <w:r w:rsidRPr="009F35EA">
        <w:rPr>
          <w:rFonts w:ascii="Times New Roman" w:hAnsi="Times New Roman" w:cs="Times New Roman"/>
          <w:szCs w:val="22"/>
        </w:rPr>
        <w:t xml:space="preserve"> исполнением постановления возложить на заместителя Председателя Правительства области, курирующего вопросы развития жилищно-коммунального комплекса области, строительства, энергосбережения и тарифного регулирования.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4. Постановление вступает в силу с момента подписания.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right"/>
        <w:rPr>
          <w:rFonts w:ascii="Times New Roman" w:hAnsi="Times New Roman" w:cs="Times New Roman"/>
          <w:szCs w:val="22"/>
        </w:rPr>
      </w:pPr>
      <w:r w:rsidRPr="009F35EA">
        <w:rPr>
          <w:rFonts w:ascii="Times New Roman" w:hAnsi="Times New Roman" w:cs="Times New Roman"/>
          <w:szCs w:val="22"/>
        </w:rPr>
        <w:lastRenderedPageBreak/>
        <w:t>Председатель</w:t>
      </w:r>
    </w:p>
    <w:p w:rsidR="009F35EA" w:rsidRPr="009F35EA" w:rsidRDefault="009F35EA" w:rsidP="009F35EA">
      <w:pPr>
        <w:pStyle w:val="ConsPlusNormal"/>
        <w:jc w:val="right"/>
        <w:rPr>
          <w:rFonts w:ascii="Times New Roman" w:hAnsi="Times New Roman" w:cs="Times New Roman"/>
          <w:szCs w:val="22"/>
        </w:rPr>
      </w:pPr>
      <w:r w:rsidRPr="009F35EA">
        <w:rPr>
          <w:rFonts w:ascii="Times New Roman" w:hAnsi="Times New Roman" w:cs="Times New Roman"/>
          <w:szCs w:val="22"/>
        </w:rPr>
        <w:t>Правительства области</w:t>
      </w:r>
    </w:p>
    <w:p w:rsidR="009F35EA" w:rsidRPr="009F35EA" w:rsidRDefault="009F35EA" w:rsidP="009F35EA">
      <w:pPr>
        <w:pStyle w:val="ConsPlusNormal"/>
        <w:jc w:val="right"/>
        <w:rPr>
          <w:rFonts w:ascii="Times New Roman" w:hAnsi="Times New Roman" w:cs="Times New Roman"/>
          <w:szCs w:val="22"/>
        </w:rPr>
      </w:pPr>
      <w:r w:rsidRPr="009F35EA">
        <w:rPr>
          <w:rFonts w:ascii="Times New Roman" w:hAnsi="Times New Roman" w:cs="Times New Roman"/>
          <w:szCs w:val="22"/>
        </w:rPr>
        <w:t>А.Л.КНЯЗЬКОВ</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right"/>
        <w:outlineLvl w:val="0"/>
        <w:rPr>
          <w:rFonts w:ascii="Times New Roman" w:hAnsi="Times New Roman" w:cs="Times New Roman"/>
          <w:szCs w:val="22"/>
        </w:rPr>
      </w:pPr>
      <w:r w:rsidRPr="009F35EA">
        <w:rPr>
          <w:rFonts w:ascii="Times New Roman" w:hAnsi="Times New Roman" w:cs="Times New Roman"/>
          <w:szCs w:val="22"/>
        </w:rPr>
        <w:t>Утверждены</w:t>
      </w:r>
    </w:p>
    <w:p w:rsidR="009F35EA" w:rsidRPr="009F35EA" w:rsidRDefault="009F35EA" w:rsidP="009F35EA">
      <w:pPr>
        <w:pStyle w:val="ConsPlusNormal"/>
        <w:jc w:val="right"/>
        <w:rPr>
          <w:rFonts w:ascii="Times New Roman" w:hAnsi="Times New Roman" w:cs="Times New Roman"/>
          <w:szCs w:val="22"/>
        </w:rPr>
      </w:pPr>
      <w:r w:rsidRPr="009F35EA">
        <w:rPr>
          <w:rFonts w:ascii="Times New Roman" w:hAnsi="Times New Roman" w:cs="Times New Roman"/>
          <w:szCs w:val="22"/>
        </w:rPr>
        <w:t>постановлением</w:t>
      </w:r>
    </w:p>
    <w:p w:rsidR="009F35EA" w:rsidRPr="009F35EA" w:rsidRDefault="009F35EA" w:rsidP="009F35EA">
      <w:pPr>
        <w:pStyle w:val="ConsPlusNormal"/>
        <w:jc w:val="right"/>
        <w:rPr>
          <w:rFonts w:ascii="Times New Roman" w:hAnsi="Times New Roman" w:cs="Times New Roman"/>
          <w:szCs w:val="22"/>
        </w:rPr>
      </w:pPr>
      <w:r w:rsidRPr="009F35EA">
        <w:rPr>
          <w:rFonts w:ascii="Times New Roman" w:hAnsi="Times New Roman" w:cs="Times New Roman"/>
          <w:szCs w:val="22"/>
        </w:rPr>
        <w:t>Правительства области</w:t>
      </w:r>
    </w:p>
    <w:p w:rsidR="009F35EA" w:rsidRPr="009F35EA" w:rsidRDefault="009F35EA" w:rsidP="009F35EA">
      <w:pPr>
        <w:pStyle w:val="ConsPlusNormal"/>
        <w:jc w:val="right"/>
        <w:rPr>
          <w:rFonts w:ascii="Times New Roman" w:hAnsi="Times New Roman" w:cs="Times New Roman"/>
          <w:szCs w:val="22"/>
        </w:rPr>
      </w:pPr>
      <w:r w:rsidRPr="009F35EA">
        <w:rPr>
          <w:rFonts w:ascii="Times New Roman" w:hAnsi="Times New Roman" w:cs="Times New Roman"/>
          <w:szCs w:val="22"/>
        </w:rPr>
        <w:t>от 11.12.2015 N 1340-п</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Title"/>
        <w:jc w:val="center"/>
        <w:rPr>
          <w:rFonts w:ascii="Times New Roman" w:hAnsi="Times New Roman" w:cs="Times New Roman"/>
          <w:szCs w:val="22"/>
        </w:rPr>
      </w:pPr>
      <w:bookmarkStart w:id="0" w:name="P50"/>
      <w:bookmarkEnd w:id="0"/>
      <w:r w:rsidRPr="009F35EA">
        <w:rPr>
          <w:rFonts w:ascii="Times New Roman" w:hAnsi="Times New Roman" w:cs="Times New Roman"/>
          <w:szCs w:val="22"/>
        </w:rPr>
        <w:t>РЕГИОНАЛЬНЫЕ НОРМАТИВЫ</w:t>
      </w:r>
    </w:p>
    <w:p w:rsidR="009F35EA" w:rsidRPr="009F35EA" w:rsidRDefault="009F35EA" w:rsidP="009F35EA">
      <w:pPr>
        <w:pStyle w:val="ConsPlusTitle"/>
        <w:jc w:val="center"/>
        <w:rPr>
          <w:rFonts w:ascii="Times New Roman" w:hAnsi="Times New Roman" w:cs="Times New Roman"/>
          <w:szCs w:val="22"/>
        </w:rPr>
      </w:pPr>
      <w:r w:rsidRPr="009F35EA">
        <w:rPr>
          <w:rFonts w:ascii="Times New Roman" w:hAnsi="Times New Roman" w:cs="Times New Roman"/>
          <w:szCs w:val="22"/>
        </w:rPr>
        <w:t>ГРАДОСТРОИТЕЛЬНОГО ПРОЕКТИРОВАНИЯ ЯРОСЛАВСКОЙ ОБЛАСТИ</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Региональные нормативы градостроительного проектирования Ярославской области (далее - региональные нормативы) </w:t>
      </w:r>
      <w:proofErr w:type="gramStart"/>
      <w:r w:rsidRPr="009F35EA">
        <w:rPr>
          <w:rFonts w:ascii="Times New Roman" w:hAnsi="Times New Roman" w:cs="Times New Roman"/>
          <w:szCs w:val="22"/>
        </w:rPr>
        <w:t>подготовлены и утверждены</w:t>
      </w:r>
      <w:proofErr w:type="gramEnd"/>
      <w:r w:rsidRPr="009F35EA">
        <w:rPr>
          <w:rFonts w:ascii="Times New Roman" w:hAnsi="Times New Roman" w:cs="Times New Roman"/>
          <w:szCs w:val="22"/>
        </w:rPr>
        <w:t xml:space="preserve"> Правительством области на основании </w:t>
      </w:r>
      <w:hyperlink r:id="rId20" w:history="1">
        <w:r w:rsidRPr="009F35EA">
          <w:rPr>
            <w:rFonts w:ascii="Times New Roman" w:hAnsi="Times New Roman" w:cs="Times New Roman"/>
            <w:color w:val="0000FF"/>
            <w:szCs w:val="22"/>
          </w:rPr>
          <w:t>статей 7</w:t>
        </w:r>
      </w:hyperlink>
      <w:r w:rsidRPr="009F35EA">
        <w:rPr>
          <w:rFonts w:ascii="Times New Roman" w:hAnsi="Times New Roman" w:cs="Times New Roman"/>
          <w:szCs w:val="22"/>
        </w:rPr>
        <w:t xml:space="preserve"> и </w:t>
      </w:r>
      <w:hyperlink r:id="rId21" w:history="1">
        <w:r w:rsidRPr="009F35EA">
          <w:rPr>
            <w:rFonts w:ascii="Times New Roman" w:hAnsi="Times New Roman" w:cs="Times New Roman"/>
            <w:color w:val="0000FF"/>
            <w:szCs w:val="22"/>
          </w:rPr>
          <w:t>29.3</w:t>
        </w:r>
      </w:hyperlink>
      <w:r w:rsidRPr="009F35EA">
        <w:rPr>
          <w:rFonts w:ascii="Times New Roman" w:hAnsi="Times New Roman" w:cs="Times New Roman"/>
          <w:szCs w:val="22"/>
        </w:rPr>
        <w:t xml:space="preserve"> Градостроительного кодекса Российской Федерации, а также </w:t>
      </w:r>
      <w:hyperlink r:id="rId22" w:history="1">
        <w:r w:rsidRPr="009F35EA">
          <w:rPr>
            <w:rFonts w:ascii="Times New Roman" w:hAnsi="Times New Roman" w:cs="Times New Roman"/>
            <w:color w:val="0000FF"/>
            <w:szCs w:val="22"/>
          </w:rPr>
          <w:t>статей 3</w:t>
        </w:r>
      </w:hyperlink>
      <w:r w:rsidRPr="009F35EA">
        <w:rPr>
          <w:rFonts w:ascii="Times New Roman" w:hAnsi="Times New Roman" w:cs="Times New Roman"/>
          <w:szCs w:val="22"/>
        </w:rPr>
        <w:t xml:space="preserve"> и </w:t>
      </w:r>
      <w:hyperlink r:id="rId23" w:history="1">
        <w:r w:rsidRPr="009F35EA">
          <w:rPr>
            <w:rFonts w:ascii="Times New Roman" w:hAnsi="Times New Roman" w:cs="Times New Roman"/>
            <w:color w:val="0000FF"/>
            <w:szCs w:val="22"/>
          </w:rPr>
          <w:t>9</w:t>
        </w:r>
      </w:hyperlink>
      <w:r w:rsidRPr="009F35EA">
        <w:rPr>
          <w:rFonts w:ascii="Times New Roman" w:hAnsi="Times New Roman" w:cs="Times New Roman"/>
          <w:szCs w:val="22"/>
        </w:rPr>
        <w:t xml:space="preserve"> Закона Ярославской области от 11 октября 2006 г. N 66-з "О градостроительной деятельности на территории Ярославской области".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Под региональными нормативами понимается совокупность расчетных показателей минимально допустимого уровня обеспеченности объектами регионального значения населения Ярославской области и расчетных показателей максимально допустимого уровня территориальной доступности таких объектов для населения Ярославской области.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Региональные нормативы включают в себя:</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основную часть (</w:t>
      </w:r>
      <w:hyperlink w:anchor="P61" w:history="1">
        <w:r w:rsidRPr="009F35EA">
          <w:rPr>
            <w:rFonts w:ascii="Times New Roman" w:hAnsi="Times New Roman" w:cs="Times New Roman"/>
            <w:color w:val="0000FF"/>
            <w:szCs w:val="22"/>
          </w:rPr>
          <w:t>глава 1</w:t>
        </w:r>
      </w:hyperlink>
      <w:r w:rsidRPr="009F35EA">
        <w:rPr>
          <w:rFonts w:ascii="Times New Roman" w:hAnsi="Times New Roman" w:cs="Times New Roman"/>
          <w:szCs w:val="22"/>
        </w:rPr>
        <w:t>, в которой представлены расчетные показатели минимально допустимого уровня обеспеченности объектами регионального значения населения Ярославской области и расчетные показатели максимально допустимого уровня территориальной доступности объектов регионального значения для населения Ярославской области, перечень которых утверждается Правительством области);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материалы по обоснованию расчетных показателей, содержащихся в основной части региональных нормативов (</w:t>
      </w:r>
      <w:hyperlink w:anchor="P755" w:history="1">
        <w:r w:rsidRPr="009F35EA">
          <w:rPr>
            <w:rFonts w:ascii="Times New Roman" w:hAnsi="Times New Roman" w:cs="Times New Roman"/>
            <w:color w:val="0000FF"/>
            <w:szCs w:val="22"/>
          </w:rPr>
          <w:t>глава 2</w:t>
        </w:r>
      </w:hyperlink>
      <w:r w:rsidRPr="009F35EA">
        <w:rPr>
          <w:rFonts w:ascii="Times New Roman" w:hAnsi="Times New Roman" w:cs="Times New Roman"/>
          <w:szCs w:val="22"/>
        </w:rPr>
        <w:t>);</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правила и область применения расчетных показателей, содержащихся в основной части региональных нормативов (</w:t>
      </w:r>
      <w:hyperlink w:anchor="P1715" w:history="1">
        <w:r w:rsidRPr="009F35EA">
          <w:rPr>
            <w:rFonts w:ascii="Times New Roman" w:hAnsi="Times New Roman" w:cs="Times New Roman"/>
            <w:color w:val="0000FF"/>
            <w:szCs w:val="22"/>
          </w:rPr>
          <w:t>глава 3</w:t>
        </w:r>
      </w:hyperlink>
      <w:r w:rsidRPr="009F35EA">
        <w:rPr>
          <w:rFonts w:ascii="Times New Roman" w:hAnsi="Times New Roman" w:cs="Times New Roman"/>
          <w:szCs w:val="22"/>
        </w:rPr>
        <w:t>).</w:t>
      </w:r>
    </w:p>
    <w:p w:rsidR="009F35EA" w:rsidRPr="009F35EA" w:rsidRDefault="009F35EA" w:rsidP="009F35EA">
      <w:pPr>
        <w:pStyle w:val="ConsPlusNormal"/>
        <w:ind w:firstLine="540"/>
        <w:jc w:val="both"/>
        <w:rPr>
          <w:rFonts w:ascii="Times New Roman" w:hAnsi="Times New Roman" w:cs="Times New Roman"/>
          <w:szCs w:val="22"/>
        </w:rPr>
      </w:pPr>
      <w:hyperlink w:anchor="P1773" w:history="1">
        <w:r w:rsidRPr="009F35EA">
          <w:rPr>
            <w:rFonts w:ascii="Times New Roman" w:hAnsi="Times New Roman" w:cs="Times New Roman"/>
            <w:color w:val="0000FF"/>
            <w:szCs w:val="22"/>
          </w:rPr>
          <w:t>Термины</w:t>
        </w:r>
      </w:hyperlink>
      <w:r w:rsidRPr="009F35EA">
        <w:rPr>
          <w:rFonts w:ascii="Times New Roman" w:hAnsi="Times New Roman" w:cs="Times New Roman"/>
          <w:szCs w:val="22"/>
        </w:rPr>
        <w:t xml:space="preserve"> и определения приведены в приложении 1 к региональным нормативам.</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1"/>
        <w:rPr>
          <w:rFonts w:ascii="Times New Roman" w:hAnsi="Times New Roman" w:cs="Times New Roman"/>
          <w:szCs w:val="22"/>
        </w:rPr>
      </w:pPr>
      <w:bookmarkStart w:id="1" w:name="P61"/>
      <w:bookmarkEnd w:id="1"/>
      <w:r w:rsidRPr="009F35EA">
        <w:rPr>
          <w:rFonts w:ascii="Times New Roman" w:hAnsi="Times New Roman" w:cs="Times New Roman"/>
          <w:szCs w:val="22"/>
        </w:rPr>
        <w:t>Глава 1. РАСЧЕТНЫЕ ПОКАЗАТЕЛИ МИНИМАЛЬНО ДОПУСТИМОГО УРОВНЯ</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ОБЕСПЕЧЕННОСТИ ОБЪЕКТАМИ РЕГИОНАЛЬНОГО ЗНАЧЕНИЯ НАСЕЛЕНИЯ</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ЯРОСЛАВСКОЙ ОБЛАСТИ И РАСЧЕТНЫЕ ПОКАЗАТЕЛИ МАКСИМАЛЬНО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ТЕРРИТОРИАЛЬНОЙ ДОСТУПНОСТИ ОБЪЕКТОВ</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РЕГИОНАЛЬНОГО ЗНАЧЕНИЯ ДЛЯ НАСЕЛЕНИЯ ЯРОСЛАВСКОЙ ОБЛАСТИ</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2"/>
        <w:rPr>
          <w:rFonts w:ascii="Times New Roman" w:hAnsi="Times New Roman" w:cs="Times New Roman"/>
          <w:szCs w:val="22"/>
        </w:rPr>
      </w:pPr>
      <w:r w:rsidRPr="009F35EA">
        <w:rPr>
          <w:rFonts w:ascii="Times New Roman" w:hAnsi="Times New Roman" w:cs="Times New Roman"/>
          <w:szCs w:val="22"/>
        </w:rPr>
        <w:t xml:space="preserve">1.1. </w:t>
      </w:r>
      <w:proofErr w:type="gramStart"/>
      <w:r w:rsidRPr="009F35EA">
        <w:rPr>
          <w:rFonts w:ascii="Times New Roman" w:hAnsi="Times New Roman" w:cs="Times New Roman"/>
          <w:szCs w:val="22"/>
        </w:rPr>
        <w:t>Объекты в сфере транспорта (железнодорожного, водного,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воздушного транспорта), автомобильных дорог регионального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или межмуниципального значения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spacing w:after="0" w:line="240" w:lineRule="auto"/>
        <w:rPr>
          <w:rFonts w:ascii="Times New Roman" w:hAnsi="Times New Roman" w:cs="Times New Roman"/>
        </w:rPr>
        <w:sectPr w:rsidR="009F35EA" w:rsidRPr="009F35EA" w:rsidSect="009F35EA">
          <w:pgSz w:w="11906" w:h="16838"/>
          <w:pgMar w:top="851" w:right="567" w:bottom="851" w:left="1134" w:header="708" w:footer="708" w:gutter="0"/>
          <w:cols w:space="708"/>
          <w:docGrid w:linePitch="360"/>
        </w:sect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lastRenderedPageBreak/>
        <w:t xml:space="preserve">Таблица 1.1.1. Расчетные показатели минимально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обеспеченности объектами транспортной инфраструктуры</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474"/>
        <w:gridCol w:w="141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Железнодорожные вокзалы</w:t>
            </w:r>
          </w:p>
        </w:tc>
        <w:tc>
          <w:tcPr>
            <w:tcW w:w="147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Железнодорожные станции</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64</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Автовокзалы</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Автостанции</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18</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Речные порты</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r>
      <w:tr w:rsidR="009F35EA" w:rsidRPr="009F35EA">
        <w:tc>
          <w:tcPr>
            <w:tcW w:w="62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Протяженность автомобильных дорог - всего</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147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км</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6476,6</w:t>
            </w: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региональные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1754,7</w:t>
            </w: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межмуниципальные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4721,9</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Средняя плотность автомобильных дорог с твердым покрытием</w:t>
            </w:r>
          </w:p>
        </w:tc>
        <w:tc>
          <w:tcPr>
            <w:tcW w:w="1474" w:type="dxa"/>
          </w:tcPr>
          <w:p w:rsidR="009F35EA" w:rsidRPr="009F35EA" w:rsidRDefault="009F35EA" w:rsidP="009F35EA">
            <w:pPr>
              <w:pStyle w:val="ConsPlusNormal"/>
              <w:jc w:val="center"/>
              <w:rPr>
                <w:rFonts w:ascii="Times New Roman" w:hAnsi="Times New Roman" w:cs="Times New Roman"/>
                <w:szCs w:val="22"/>
              </w:rPr>
            </w:pPr>
            <w:proofErr w:type="gramStart"/>
            <w:r w:rsidRPr="009F35EA">
              <w:rPr>
                <w:rFonts w:ascii="Times New Roman" w:hAnsi="Times New Roman" w:cs="Times New Roman"/>
                <w:szCs w:val="22"/>
              </w:rPr>
              <w:t>км</w:t>
            </w:r>
            <w:proofErr w:type="gramEnd"/>
            <w:r w:rsidRPr="009F35EA">
              <w:rPr>
                <w:rFonts w:ascii="Times New Roman" w:hAnsi="Times New Roman" w:cs="Times New Roman"/>
                <w:szCs w:val="22"/>
              </w:rPr>
              <w:t>/1000 кв. км</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164</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Аэропорты</w:t>
            </w:r>
          </w:p>
        </w:tc>
        <w:tc>
          <w:tcPr>
            <w:tcW w:w="1474" w:type="dxa"/>
            <w:vMerge w:val="restart"/>
            <w:tcBorders>
              <w:bottom w:val="nil"/>
            </w:tcBorders>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r w:rsidR="009F35EA" w:rsidRPr="009F35EA">
        <w:tblPrEx>
          <w:tblBorders>
            <w:insideH w:val="nil"/>
          </w:tblBorders>
        </w:tblPrEx>
        <w:tc>
          <w:tcPr>
            <w:tcW w:w="62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9</w:t>
            </w:r>
          </w:p>
        </w:tc>
        <w:tc>
          <w:tcPr>
            <w:tcW w:w="6123" w:type="dxa"/>
            <w:tcBorders>
              <w:bottom w:val="nil"/>
            </w:tcBorders>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Аэродромы гражданской авиации</w:t>
            </w:r>
          </w:p>
        </w:tc>
        <w:tc>
          <w:tcPr>
            <w:tcW w:w="1474" w:type="dxa"/>
            <w:vMerge/>
            <w:tcBorders>
              <w:bottom w:val="nil"/>
            </w:tcBorders>
          </w:tcPr>
          <w:p w:rsidR="009F35EA" w:rsidRPr="009F35EA" w:rsidRDefault="009F35EA" w:rsidP="009F35EA">
            <w:pPr>
              <w:spacing w:after="0" w:line="240" w:lineRule="auto"/>
              <w:rPr>
                <w:rFonts w:ascii="Times New Roman" w:hAnsi="Times New Roman" w:cs="Times New Roman"/>
              </w:rPr>
            </w:pPr>
          </w:p>
        </w:tc>
        <w:tc>
          <w:tcPr>
            <w:tcW w:w="1417" w:type="dxa"/>
            <w:tcBorders>
              <w:bottom w:val="nil"/>
            </w:tcBorders>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r>
      <w:tr w:rsidR="009F35EA" w:rsidRPr="009F35EA">
        <w:tblPrEx>
          <w:tblBorders>
            <w:insideH w:val="nil"/>
          </w:tblBorders>
        </w:tblPrEx>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Borders>
              <w:top w:val="nil"/>
            </w:tcBorders>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 посадочные площадки</w:t>
            </w:r>
          </w:p>
        </w:tc>
        <w:tc>
          <w:tcPr>
            <w:tcW w:w="1474" w:type="dxa"/>
            <w:tcBorders>
              <w:top w:val="nil"/>
            </w:tcBorders>
          </w:tcPr>
          <w:p w:rsidR="009F35EA" w:rsidRPr="009F35EA" w:rsidRDefault="009F35EA" w:rsidP="009F35EA">
            <w:pPr>
              <w:pStyle w:val="ConsPlusNormal"/>
              <w:rPr>
                <w:rFonts w:ascii="Times New Roman" w:hAnsi="Times New Roman" w:cs="Times New Roman"/>
                <w:szCs w:val="22"/>
              </w:rPr>
            </w:pPr>
          </w:p>
        </w:tc>
        <w:tc>
          <w:tcPr>
            <w:tcW w:w="1417" w:type="dxa"/>
            <w:tcBorders>
              <w:top w:val="nil"/>
            </w:tcBorders>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1.1.2. Расчетные показатели максимально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территориальной доступности объектов транспортной</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инфраструктуры</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272"/>
        <w:gridCol w:w="1474"/>
        <w:gridCol w:w="2268"/>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lastRenderedPageBreak/>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5272"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Единица </w:t>
            </w:r>
            <w:r w:rsidRPr="009F35EA">
              <w:rPr>
                <w:rFonts w:ascii="Times New Roman" w:hAnsi="Times New Roman" w:cs="Times New Roman"/>
                <w:szCs w:val="22"/>
              </w:rPr>
              <w:lastRenderedPageBreak/>
              <w:t>измерения</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Величина</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1</w:t>
            </w:r>
          </w:p>
        </w:tc>
        <w:tc>
          <w:tcPr>
            <w:tcW w:w="527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Железнодорожные вокзалы</w:t>
            </w:r>
          </w:p>
        </w:tc>
        <w:tc>
          <w:tcPr>
            <w:tcW w:w="147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2268"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затраты времени на передвижения в большой, крупный и крупнейший город-центр не более 120 мин., в малые и средние города-центры или </w:t>
            </w:r>
            <w:proofErr w:type="spellStart"/>
            <w:r w:rsidRPr="009F35EA">
              <w:rPr>
                <w:rFonts w:ascii="Times New Roman" w:hAnsi="Times New Roman" w:cs="Times New Roman"/>
                <w:szCs w:val="22"/>
              </w:rPr>
              <w:t>подцентры</w:t>
            </w:r>
            <w:proofErr w:type="spellEnd"/>
            <w:r w:rsidRPr="009F35EA">
              <w:rPr>
                <w:rFonts w:ascii="Times New Roman" w:hAnsi="Times New Roman" w:cs="Times New Roman"/>
                <w:szCs w:val="22"/>
              </w:rPr>
              <w:t xml:space="preserve"> систем расселения - не более 60 мин.</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527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Железнодорожные станции</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527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Автовокзалы</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527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Автостанции</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527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Речные порты</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527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Аэропорты</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w:t>
            </w:r>
          </w:p>
        </w:tc>
        <w:tc>
          <w:tcPr>
            <w:tcW w:w="527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Аэродромы гражданской авиации</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 посадочные площадки</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2"/>
        <w:rPr>
          <w:rFonts w:ascii="Times New Roman" w:hAnsi="Times New Roman" w:cs="Times New Roman"/>
          <w:szCs w:val="22"/>
        </w:rPr>
      </w:pPr>
      <w:r w:rsidRPr="009F35EA">
        <w:rPr>
          <w:rFonts w:ascii="Times New Roman" w:hAnsi="Times New Roman" w:cs="Times New Roman"/>
          <w:szCs w:val="22"/>
        </w:rPr>
        <w:t>1.2. Объекты в сфере предупреждения чрезвычайных ситуаций</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межмуниципального и регионального характера, </w:t>
      </w:r>
      <w:proofErr w:type="gramStart"/>
      <w:r w:rsidRPr="009F35EA">
        <w:rPr>
          <w:rFonts w:ascii="Times New Roman" w:hAnsi="Times New Roman" w:cs="Times New Roman"/>
          <w:szCs w:val="22"/>
        </w:rPr>
        <w:t>стихийных</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бедствий, эпидемий и ликвидации их последствий</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1.2.1. Расчетные показатели минимально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обеспеченности объектами в сфере предупреждения</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чрезвычайных ситуаций, стихийных бедствий, эпидемий 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ликвидации их последствий</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474"/>
        <w:gridCol w:w="141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Пожарные депо</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147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 на 1000 человек</w:t>
            </w:r>
          </w:p>
        </w:tc>
        <w:tc>
          <w:tcPr>
            <w:tcW w:w="1417" w:type="dxa"/>
          </w:tcPr>
          <w:p w:rsidR="009F35EA" w:rsidRPr="009F35EA" w:rsidRDefault="009F35EA" w:rsidP="009F35EA">
            <w:pPr>
              <w:pStyle w:val="ConsPlusNormal"/>
              <w:rPr>
                <w:rFonts w:ascii="Times New Roman" w:hAnsi="Times New Roman" w:cs="Times New Roman"/>
                <w:szCs w:val="22"/>
              </w:rPr>
            </w:pP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подразделения Федеральной противопожарной службы, единиц</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0,003</w:t>
            </w: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xml:space="preserve">- территориальные подразделения противопожарной службы, </w:t>
            </w:r>
            <w:r w:rsidRPr="009F35EA">
              <w:rPr>
                <w:rFonts w:ascii="Times New Roman" w:hAnsi="Times New Roman" w:cs="Times New Roman"/>
                <w:szCs w:val="22"/>
              </w:rPr>
              <w:lastRenderedPageBreak/>
              <w:t>единиц</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0,007</w:t>
            </w: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пожарные части, единиц</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0,04</w:t>
            </w: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количество пожарных машин</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0,3</w:t>
            </w:r>
          </w:p>
        </w:tc>
      </w:tr>
      <w:tr w:rsidR="009F35EA" w:rsidRPr="009F35EA">
        <w:tc>
          <w:tcPr>
            <w:tcW w:w="62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Защитные сооружения гражданской обороны</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rPr>
                <w:rFonts w:ascii="Times New Roman" w:hAnsi="Times New Roman" w:cs="Times New Roman"/>
                <w:szCs w:val="22"/>
              </w:rPr>
            </w:pP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убежища, мест</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150</w:t>
            </w: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противорадиационные укрытия, мест</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Объекты государственной инспекции по маломерным судам, единиц</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0,006</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1.2.2. Расчетные показатели максимально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территориальной доступности объектов в сфере</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предупреждения чрезвычайных ситуаций, стихийных бедствий,</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эпидемий и ликвидации их последствий</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216"/>
        <w:gridCol w:w="1531"/>
        <w:gridCol w:w="2268"/>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5216"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объекта</w:t>
            </w:r>
          </w:p>
        </w:tc>
        <w:tc>
          <w:tcPr>
            <w:tcW w:w="153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5216" w:type="dxa"/>
            <w:vMerge w:val="restart"/>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Пожарные депо</w:t>
            </w:r>
          </w:p>
        </w:tc>
        <w:tc>
          <w:tcPr>
            <w:tcW w:w="1531"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10 (для городов)</w:t>
            </w: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5216" w:type="dxa"/>
            <w:vMerge/>
          </w:tcPr>
          <w:p w:rsidR="009F35EA" w:rsidRPr="009F35EA" w:rsidRDefault="009F35EA" w:rsidP="009F35EA">
            <w:pPr>
              <w:spacing w:after="0" w:line="240" w:lineRule="auto"/>
              <w:rPr>
                <w:rFonts w:ascii="Times New Roman" w:hAnsi="Times New Roman" w:cs="Times New Roman"/>
              </w:rPr>
            </w:pPr>
          </w:p>
        </w:tc>
        <w:tc>
          <w:tcPr>
            <w:tcW w:w="1531" w:type="dxa"/>
            <w:vMerge/>
          </w:tcPr>
          <w:p w:rsidR="009F35EA" w:rsidRPr="009F35EA" w:rsidRDefault="009F35EA" w:rsidP="009F35EA">
            <w:pPr>
              <w:spacing w:after="0" w:line="240" w:lineRule="auto"/>
              <w:rPr>
                <w:rFonts w:ascii="Times New Roman" w:hAnsi="Times New Roman" w:cs="Times New Roman"/>
              </w:rPr>
            </w:pP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20 (населенные пункты, кроме городов)</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5216"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Защитные сооружения гражданской обороны</w:t>
            </w:r>
          </w:p>
        </w:tc>
        <w:tc>
          <w:tcPr>
            <w:tcW w:w="153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радиус доступности (м)</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500</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5216"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Объекты государственной инспекции по маломерным судам</w:t>
            </w:r>
          </w:p>
        </w:tc>
        <w:tc>
          <w:tcPr>
            <w:tcW w:w="153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120/60</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2"/>
        <w:rPr>
          <w:rFonts w:ascii="Times New Roman" w:hAnsi="Times New Roman" w:cs="Times New Roman"/>
          <w:szCs w:val="22"/>
        </w:rPr>
      </w:pPr>
      <w:r w:rsidRPr="009F35EA">
        <w:rPr>
          <w:rFonts w:ascii="Times New Roman" w:hAnsi="Times New Roman" w:cs="Times New Roman"/>
          <w:szCs w:val="22"/>
        </w:rPr>
        <w:t>1.3. Объекты в сфере образования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1.3.1. Расчетные показатели минимально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обеспеченности объектами образования</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474"/>
        <w:gridCol w:w="141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Профессиональные образовательные организации</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мест на 1000 человек</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18,7</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Организации дополнительного образования (в том числе для обслуживания населения более чем одного муниципального образования области)</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мест на 1000 человек</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69,6</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Специальные (коррекционные) образовательные организации для обучающихся, воспитанников с ограниченными возможностями здоровья</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мест на 1000 человек</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Организации для детей-сирот и детей, оставшихся без попечения родителей</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мест на 1000 человек</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0,42</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Общеобразовательные организации при исправительных учреждениях уголовно-исполнительной системы</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мест на 1000 человек</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0,15</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Образовательные организации для детей, нуждающихся в психолого-педагогической и медико-социальной помощи</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 на 100000 человек</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Организации дополнительного профессионального образования</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 на 140000 человек</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1.3.2. Расчетные показатели максимально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территориальной доступности объектов образования</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474"/>
        <w:gridCol w:w="141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Профессиональные образовательные организации</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1417"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120/60</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Организации дополнительного образования (в том числе для обслуживания населения более чем одного муниципального образования области)</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Специальные (коррекционные) образовательные организации для обучающихся, воспитанников с ограниченными возможностями здоровья</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1417"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120/60</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Организации для детей-сирот и детей, оставшихся без попечения родителей</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Общеобразовательные организации при исправительных учреждениях уголовно-исполнительной системы</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Образовательные организации для детей, нуждающихся в психолого-педагогической и медико-социальной помощи</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Организации дополнительного профессионального образования</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1417" w:type="dxa"/>
            <w:vMerge/>
          </w:tcPr>
          <w:p w:rsidR="009F35EA" w:rsidRPr="009F35EA" w:rsidRDefault="009F35EA" w:rsidP="009F35EA">
            <w:pPr>
              <w:spacing w:after="0" w:line="240" w:lineRule="auto"/>
              <w:rPr>
                <w:rFonts w:ascii="Times New Roman" w:hAnsi="Times New Roman" w:cs="Times New Roman"/>
              </w:rPr>
            </w:pP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2"/>
        <w:rPr>
          <w:rFonts w:ascii="Times New Roman" w:hAnsi="Times New Roman" w:cs="Times New Roman"/>
          <w:szCs w:val="22"/>
        </w:rPr>
      </w:pPr>
      <w:r w:rsidRPr="009F35EA">
        <w:rPr>
          <w:rFonts w:ascii="Times New Roman" w:hAnsi="Times New Roman" w:cs="Times New Roman"/>
          <w:szCs w:val="22"/>
        </w:rPr>
        <w:t>1.4. Объекты в сфере здравоохранения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1.4.1. Расчетные показатели минимально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обеспеченности объектами здравоохранения</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474"/>
        <w:gridCol w:w="141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Областные больницы</w:t>
            </w:r>
          </w:p>
        </w:tc>
        <w:tc>
          <w:tcPr>
            <w:tcW w:w="147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койко-мест на </w:t>
            </w:r>
            <w:r w:rsidRPr="009F35EA">
              <w:rPr>
                <w:rFonts w:ascii="Times New Roman" w:hAnsi="Times New Roman" w:cs="Times New Roman"/>
                <w:szCs w:val="22"/>
              </w:rPr>
              <w:lastRenderedPageBreak/>
              <w:t>1000 человек</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3,7</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Перинатальный центр</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0,16</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Госпитали для ветеранов войн</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0,16</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Психиатрические и психоневрологические больницы</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1,4</w:t>
            </w:r>
          </w:p>
        </w:tc>
      </w:tr>
      <w:tr w:rsidR="009F35EA" w:rsidRPr="009F35EA">
        <w:tc>
          <w:tcPr>
            <w:tcW w:w="62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Диспансеры (больницы)</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rPr>
                <w:rFonts w:ascii="Times New Roman" w:hAnsi="Times New Roman" w:cs="Times New Roman"/>
                <w:szCs w:val="22"/>
              </w:rPr>
            </w:pP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кожно-венерологические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0,06</w:t>
            </w: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наркологические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0,2</w:t>
            </w: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онкологические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0,27</w:t>
            </w: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противотуберкулезные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0,37</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Станции переливания крови</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Дома ребенка</w:t>
            </w:r>
          </w:p>
        </w:tc>
        <w:tc>
          <w:tcPr>
            <w:tcW w:w="147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койко-мест на 1000 человек</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0,13</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Санатории детские, учреждения отдыха и оздоровления детей (кроме отдыха детей в каникулярное время)</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0,31</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1.4.2. Расчетные показатели максимально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территориальной доступности объектов здравоохранения</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474"/>
        <w:gridCol w:w="141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Областные больницы</w:t>
            </w:r>
          </w:p>
        </w:tc>
        <w:tc>
          <w:tcPr>
            <w:tcW w:w="147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1417"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120/60</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Перинатальный центр</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Госпитали для ветеранов войн</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Психиатрические и психоневрологические больницы</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5</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Диспансеры (больницы)</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кожно-венерологические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наркологические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онкологические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vMerge/>
          </w:tcPr>
          <w:p w:rsidR="009F35EA" w:rsidRPr="009F35EA" w:rsidRDefault="009F35EA" w:rsidP="009F35EA">
            <w:pPr>
              <w:spacing w:after="0" w:line="240" w:lineRule="auto"/>
              <w:rPr>
                <w:rFonts w:ascii="Times New Roman" w:hAnsi="Times New Roman" w:cs="Times New Roman"/>
              </w:rPr>
            </w:pP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противотуберкулезные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Станции переливания крови</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Дома ребенка</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Санатории детские, учреждения отдыха и оздоровления детей (кроме отдыха детей в каникулярное время)</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2"/>
        <w:rPr>
          <w:rFonts w:ascii="Times New Roman" w:hAnsi="Times New Roman" w:cs="Times New Roman"/>
          <w:szCs w:val="22"/>
        </w:rPr>
      </w:pPr>
      <w:r w:rsidRPr="009F35EA">
        <w:rPr>
          <w:rFonts w:ascii="Times New Roman" w:hAnsi="Times New Roman" w:cs="Times New Roman"/>
          <w:szCs w:val="22"/>
        </w:rPr>
        <w:t>1.5. Объекты в сфере физической культуры и спорта</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1.5.1. Расчетные показатели минимально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обеспеченности объектами физической культуры и спорта</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474"/>
        <w:gridCol w:w="141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Стадионы на 1500 мест и более</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24</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Сооружения для стрелковых видов спорта: тиры, стенды</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42</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Лыжные базы</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25</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Биатлонные комплексы</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xml:space="preserve">Спортивные залы, манежи (легкоатлетические и футбольные), </w:t>
            </w:r>
            <w:r w:rsidRPr="009F35EA">
              <w:rPr>
                <w:rFonts w:ascii="Times New Roman" w:hAnsi="Times New Roman" w:cs="Times New Roman"/>
                <w:szCs w:val="22"/>
              </w:rPr>
              <w:lastRenderedPageBreak/>
              <w:t>спортивные сооружения с ледовым покрытием закрытые, физкультурно-оздоровительные сооружения, дворцы спорта и так далее</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ед.</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1113</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6</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Конноспортивные базы, ипподромы</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Велотреки, велодромы</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Плавательные бассейны</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477</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9</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Плоскостные спортивные сооружения: спортивные площадки, комплексные спортивные площадки, футбольные поля, трасса спортивная и тому подобное</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4592</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1.5.2. Расчетные показатели максимально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территориальной доступности объектов в сфере</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физической культуры, спорта и отдыха</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474"/>
        <w:gridCol w:w="141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Стадионы на 1500 мест и более</w:t>
            </w:r>
          </w:p>
        </w:tc>
        <w:tc>
          <w:tcPr>
            <w:tcW w:w="147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1417"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120/60</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Сооружения для стрелковых видов спорта: тиры, стенды</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Лыжные базы</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Биатлонные комплексы</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Спортивные залы, манежи (легкоатлетические и футбольные), спортивные сооружения с ледовым покрытием закрытые, физкультурно-оздоровительные сооружения, дворцы спорта и так далее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Конноспортивные базы, ипподромы</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7</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Велотреки, велодромы</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Плавательные бассейны</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9</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Плоскостные спортивные сооружения: спортивные площадки, комплексные спортивные площадки, футбольные поля, трасса спортивная и тому подобное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2"/>
        <w:rPr>
          <w:rFonts w:ascii="Times New Roman" w:hAnsi="Times New Roman" w:cs="Times New Roman"/>
          <w:szCs w:val="22"/>
        </w:rPr>
      </w:pPr>
      <w:r w:rsidRPr="009F35EA">
        <w:rPr>
          <w:rFonts w:ascii="Times New Roman" w:hAnsi="Times New Roman" w:cs="Times New Roman"/>
          <w:szCs w:val="22"/>
        </w:rPr>
        <w:t>1.6. Объекты в иных сферах в соответствии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с полномочиями Ярославской области</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1.6.1. Расчетные показатели минимально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уровня обеспеченности объектами, необходимыми </w:t>
      </w:r>
      <w:proofErr w:type="gramStart"/>
      <w:r w:rsidRPr="009F35EA">
        <w:rPr>
          <w:rFonts w:ascii="Times New Roman" w:hAnsi="Times New Roman" w:cs="Times New Roman"/>
          <w:szCs w:val="22"/>
        </w:rPr>
        <w:t>для</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обеспечения деятельности органов власти Ярославской области</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474"/>
        <w:gridCol w:w="141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Органы исполнительной власти Ярославской области</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147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 на область, объектов на 100000 человек населения</w:t>
            </w:r>
          </w:p>
        </w:tc>
        <w:tc>
          <w:tcPr>
            <w:tcW w:w="1417" w:type="dxa"/>
          </w:tcPr>
          <w:p w:rsidR="009F35EA" w:rsidRPr="009F35EA" w:rsidRDefault="009F35EA" w:rsidP="009F35EA">
            <w:pPr>
              <w:pStyle w:val="ConsPlusNormal"/>
              <w:rPr>
                <w:rFonts w:ascii="Times New Roman" w:hAnsi="Times New Roman" w:cs="Times New Roman"/>
                <w:szCs w:val="22"/>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Органы, осуществляющие оказание государственных услуг населению</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23</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Филиалы, представительства, подведомственные органам исполнительной власти Ярославской области организации, осуществляющие оказание государственных услуг населению</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rPr>
                <w:rFonts w:ascii="Times New Roman" w:hAnsi="Times New Roman" w:cs="Times New Roman"/>
                <w:szCs w:val="22"/>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Многофункциональные центры предоставления государственных и муниципальных услуг (далее - МФЦ)</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22</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Территориально обособленные структурные подразделения МФЦ</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xml:space="preserve">Офисы организации, привлекаемой к выполнению функций </w:t>
            </w:r>
            <w:r w:rsidRPr="009F35EA">
              <w:rPr>
                <w:rFonts w:ascii="Times New Roman" w:hAnsi="Times New Roman" w:cs="Times New Roman"/>
                <w:szCs w:val="22"/>
              </w:rPr>
              <w:lastRenderedPageBreak/>
              <w:t>МФЦ</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31</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1.3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Отделы записи актов гражданского состояния</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26</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(2,0)</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Объекты, необходимые для функционирования государственных казенных учреждений Ярославской области центров занятости населения, в том числе здания для их размещения</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17</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(1,3)</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Объекты, необходимые для функционирования государственного архива Ярославской области, в том числе здания для его размещения</w:t>
            </w:r>
          </w:p>
        </w:tc>
        <w:tc>
          <w:tcPr>
            <w:tcW w:w="147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 на область</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Центры патриотического воспитания</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Государственные учреждения Ярославской области в сфере молодежной политики</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r>
    </w:tbl>
    <w:p w:rsidR="009F35EA" w:rsidRPr="009F35EA" w:rsidRDefault="009F35EA" w:rsidP="009F35EA">
      <w:pPr>
        <w:spacing w:after="0" w:line="240" w:lineRule="auto"/>
        <w:rPr>
          <w:rFonts w:ascii="Times New Roman" w:hAnsi="Times New Roman" w:cs="Times New Roman"/>
        </w:rPr>
        <w:sectPr w:rsidR="009F35EA" w:rsidRPr="009F35EA">
          <w:pgSz w:w="16838" w:h="11905" w:orient="landscape"/>
          <w:pgMar w:top="1701" w:right="1134" w:bottom="850" w:left="1134" w:header="0" w:footer="0" w:gutter="0"/>
          <w:cols w:space="720"/>
        </w:sect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1.6.2. Расчетные показатели максимально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уровня территориальной доступности объектов, необходимых </w:t>
      </w:r>
      <w:proofErr w:type="gramStart"/>
      <w:r w:rsidRPr="009F35EA">
        <w:rPr>
          <w:rFonts w:ascii="Times New Roman" w:hAnsi="Times New Roman" w:cs="Times New Roman"/>
          <w:szCs w:val="22"/>
        </w:rPr>
        <w:t>для</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обеспечения деятельности органов власти Ярославской области</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474"/>
        <w:gridCol w:w="141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Органы исполнительной власти Ярославской области</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147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1417"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120/60</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Органы, осуществляющие оказание государственных услуг населению</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Филиалы, представительства, подведомственные органам исполнительной власти Ярославской области организации, осуществляющие оказание государственных услуг населению</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МФЦ</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Территориально обособленные структурные подразделения МФЦ</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Офисы организации, привлекаемой к выполнению функций МФЦ</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Отделы записи актов гражданского состояния</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Объекты, необходимые для функционирования государственных казенных учреждений Ярославской области центров занятости населения, в том числе здания для их размещения</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Объекты, необходимые для функционирования государственного архива Ярославской области, в том числе здания для его размещения</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4</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Центры патриотического воспитания</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Государственные учреждения Ярославской области в сфере молодежной политики</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1.6.3. Расчетные показатели минимально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обеспеченности объектами опеки и попечительства,</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объектами социальной защиты населения</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474"/>
        <w:gridCol w:w="141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Учреждения социального обслуживания для взрослого населения</w:t>
            </w:r>
          </w:p>
        </w:tc>
        <w:tc>
          <w:tcPr>
            <w:tcW w:w="147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койко-мест на 1000 человек</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3,1</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Учреждения социального обслуживания для детей-инвалидов</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0,18</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Учреждения социального обслуживания несовершеннолетних</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0,21</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1.6.4. Расчетные показатели максимально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территориальной доступности объектов опеки 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попечительства, объектов социальной защиты населения</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474"/>
        <w:gridCol w:w="141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Учреждения социального обслуживания для взрослого населения</w:t>
            </w:r>
          </w:p>
        </w:tc>
        <w:tc>
          <w:tcPr>
            <w:tcW w:w="147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1417"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120/60</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Учреждения социального обслуживания для детей-инвалидов</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Учреждения социального обслуживания несовершеннолетних</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1.6.5. Расчетные показатели минимально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обеспеченности населения объектами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туристско-гостиничной и туристско-рекреационной деятельности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регионального значения</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474"/>
        <w:gridCol w:w="1417"/>
      </w:tblGrid>
      <w:tr w:rsidR="009F35EA" w:rsidRPr="009F35EA">
        <w:tc>
          <w:tcPr>
            <w:tcW w:w="6746"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746"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Коллективные средства размещения (в том числе туристско-гостиничные, туристско-рекреационные комплексы, гостиницы, кемпинги, мотели, турбазы и иные коллективные средства размещения круглогодичной эксплуатации)</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мест на 1000 человек</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1.6.6. Расчетные показатели максимально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территориальной доступности объектов</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туристско-гостиничной и туристско-рекреационной деятельности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регионального значения</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474"/>
        <w:gridCol w:w="1417"/>
      </w:tblGrid>
      <w:tr w:rsidR="009F35EA" w:rsidRPr="009F35EA">
        <w:tc>
          <w:tcPr>
            <w:tcW w:w="6746"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746"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Коллективные средства размещения (в том числе туристско-гостиничные, туристско-рекреационные комплексы, гостиницы, кемпинги, мотели, турбазы и иные коллективные средства размещения круглогодичной эксплуатации)</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120/60</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1.6.7. Расчетные показатели минимально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обеспеченности населения объектами культуры</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474"/>
        <w:gridCol w:w="141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Государственные библиотеки, находящиеся в ведении Ярославской области</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 на область</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xml:space="preserve">Государственные музеи, находящиеся в ведении Ярославской </w:t>
            </w:r>
            <w:r w:rsidRPr="009F35EA">
              <w:rPr>
                <w:rFonts w:ascii="Times New Roman" w:hAnsi="Times New Roman" w:cs="Times New Roman"/>
                <w:szCs w:val="22"/>
              </w:rPr>
              <w:lastRenderedPageBreak/>
              <w:t>области</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 xml:space="preserve">объектов на </w:t>
            </w:r>
            <w:r w:rsidRPr="009F35EA">
              <w:rPr>
                <w:rFonts w:ascii="Times New Roman" w:hAnsi="Times New Roman" w:cs="Times New Roman"/>
                <w:szCs w:val="22"/>
              </w:rPr>
              <w:lastRenderedPageBreak/>
              <w:t>область</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6</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3</w:t>
            </w:r>
          </w:p>
        </w:tc>
        <w:tc>
          <w:tcPr>
            <w:tcW w:w="6123" w:type="dxa"/>
          </w:tcPr>
          <w:p w:rsidR="009F35EA" w:rsidRPr="009F35EA" w:rsidRDefault="009F35EA" w:rsidP="009F35EA">
            <w:pPr>
              <w:pStyle w:val="ConsPlusNormal"/>
              <w:rPr>
                <w:rFonts w:ascii="Times New Roman" w:hAnsi="Times New Roman" w:cs="Times New Roman"/>
                <w:szCs w:val="22"/>
              </w:rPr>
            </w:pPr>
            <w:proofErr w:type="spellStart"/>
            <w:r w:rsidRPr="009F35EA">
              <w:rPr>
                <w:rFonts w:ascii="Times New Roman" w:hAnsi="Times New Roman" w:cs="Times New Roman"/>
                <w:szCs w:val="22"/>
              </w:rPr>
              <w:t>Культурно-досуговые</w:t>
            </w:r>
            <w:proofErr w:type="spellEnd"/>
            <w:r w:rsidRPr="009F35EA">
              <w:rPr>
                <w:rFonts w:ascii="Times New Roman" w:hAnsi="Times New Roman" w:cs="Times New Roman"/>
                <w:szCs w:val="22"/>
              </w:rPr>
              <w:t xml:space="preserve"> учреждения, находящиеся в ведении Ярославской области</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 на область</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Государственные театры, находящиеся в ведении Ярославской области</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 на область</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Филармония и концертные залы, находящиеся в ведении Ярославской области</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 на область</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Образовательные учреждения в сфере культуры, находящиеся в ведении Ярославской области</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 на область</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1.6.8. Расчетные показатели максимально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территориальной доступности учреждений культуры</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474"/>
        <w:gridCol w:w="141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Государственные библиотеки, находящиеся в ведении Ярославской области</w:t>
            </w:r>
          </w:p>
        </w:tc>
        <w:tc>
          <w:tcPr>
            <w:tcW w:w="147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1417"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120/60</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Государственные музеи, находящиеся в ведении Ярославской области</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6123" w:type="dxa"/>
          </w:tcPr>
          <w:p w:rsidR="009F35EA" w:rsidRPr="009F35EA" w:rsidRDefault="009F35EA" w:rsidP="009F35EA">
            <w:pPr>
              <w:pStyle w:val="ConsPlusNormal"/>
              <w:rPr>
                <w:rFonts w:ascii="Times New Roman" w:hAnsi="Times New Roman" w:cs="Times New Roman"/>
                <w:szCs w:val="22"/>
              </w:rPr>
            </w:pPr>
            <w:proofErr w:type="spellStart"/>
            <w:r w:rsidRPr="009F35EA">
              <w:rPr>
                <w:rFonts w:ascii="Times New Roman" w:hAnsi="Times New Roman" w:cs="Times New Roman"/>
                <w:szCs w:val="22"/>
              </w:rPr>
              <w:t>Культурно-досуговые</w:t>
            </w:r>
            <w:proofErr w:type="spellEnd"/>
            <w:r w:rsidRPr="009F35EA">
              <w:rPr>
                <w:rFonts w:ascii="Times New Roman" w:hAnsi="Times New Roman" w:cs="Times New Roman"/>
                <w:szCs w:val="22"/>
              </w:rPr>
              <w:t xml:space="preserve"> учреждения, находящиеся в ведении Ярославской области</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Государственные театры, находящиеся в ведении Ярославской области</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Филармония и концертные залы, находящиеся в ведении Ярославской области</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6</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Образовательные учреждения в сфере культуры, находящиеся в ведении Ярославской области</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vMerge/>
          </w:tcPr>
          <w:p w:rsidR="009F35EA" w:rsidRPr="009F35EA" w:rsidRDefault="009F35EA" w:rsidP="009F35EA">
            <w:pPr>
              <w:spacing w:after="0" w:line="240" w:lineRule="auto"/>
              <w:rPr>
                <w:rFonts w:ascii="Times New Roman" w:hAnsi="Times New Roman" w:cs="Times New Roman"/>
              </w:rPr>
            </w:pP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bookmarkStart w:id="2" w:name="P654"/>
      <w:bookmarkEnd w:id="2"/>
      <w:r w:rsidRPr="009F35EA">
        <w:rPr>
          <w:rFonts w:ascii="Times New Roman" w:hAnsi="Times New Roman" w:cs="Times New Roman"/>
          <w:szCs w:val="22"/>
        </w:rPr>
        <w:t>Таблица 1.6.9. Расчетные показатели плотности застройки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участков территориальных зон</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839"/>
        <w:gridCol w:w="1587"/>
        <w:gridCol w:w="158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5839"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Территориальные зоны</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Коэффициент застройки</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Коэффициент плотности застройки</w:t>
            </w:r>
          </w:p>
        </w:tc>
      </w:tr>
      <w:tr w:rsidR="009F35EA" w:rsidRPr="009F35EA">
        <w:tc>
          <w:tcPr>
            <w:tcW w:w="624" w:type="dxa"/>
          </w:tcPr>
          <w:p w:rsidR="009F35EA" w:rsidRPr="009F35EA" w:rsidRDefault="009F35EA" w:rsidP="009F35EA">
            <w:pPr>
              <w:pStyle w:val="ConsPlusNormal"/>
              <w:rPr>
                <w:rFonts w:ascii="Times New Roman" w:hAnsi="Times New Roman" w:cs="Times New Roman"/>
                <w:szCs w:val="22"/>
              </w:rPr>
            </w:pPr>
          </w:p>
        </w:tc>
        <w:tc>
          <w:tcPr>
            <w:tcW w:w="9013" w:type="dxa"/>
            <w:gridSpan w:val="3"/>
          </w:tcPr>
          <w:p w:rsidR="009F35EA" w:rsidRPr="009F35EA" w:rsidRDefault="009F35EA" w:rsidP="009F35EA">
            <w:pPr>
              <w:pStyle w:val="ConsPlusNormal"/>
              <w:jc w:val="center"/>
              <w:outlineLvl w:val="4"/>
              <w:rPr>
                <w:rFonts w:ascii="Times New Roman" w:hAnsi="Times New Roman" w:cs="Times New Roman"/>
                <w:szCs w:val="22"/>
              </w:rPr>
            </w:pPr>
            <w:r w:rsidRPr="009F35EA">
              <w:rPr>
                <w:rFonts w:ascii="Times New Roman" w:hAnsi="Times New Roman" w:cs="Times New Roman"/>
                <w:szCs w:val="22"/>
              </w:rPr>
              <w:t>1. Жилая</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1.1</w:t>
            </w:r>
          </w:p>
        </w:tc>
        <w:tc>
          <w:tcPr>
            <w:tcW w:w="583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Застройка многоквартирными многоэтажными жилыми домами</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0,4</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w:t>
            </w:r>
          </w:p>
        </w:tc>
        <w:tc>
          <w:tcPr>
            <w:tcW w:w="583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Реконструируемая застройка многоквартирными многоэтажными жилыми домами</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0,6</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1,6</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1.3</w:t>
            </w:r>
          </w:p>
        </w:tc>
        <w:tc>
          <w:tcPr>
            <w:tcW w:w="583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Застройка многоквартирными жилыми домами малой и средней этажности</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0,4</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0,8</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1.4</w:t>
            </w:r>
          </w:p>
        </w:tc>
        <w:tc>
          <w:tcPr>
            <w:tcW w:w="583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xml:space="preserve">Застройка блокированными жилыми домами с </w:t>
            </w:r>
            <w:proofErr w:type="spellStart"/>
            <w:r w:rsidRPr="009F35EA">
              <w:rPr>
                <w:rFonts w:ascii="Times New Roman" w:hAnsi="Times New Roman" w:cs="Times New Roman"/>
                <w:szCs w:val="22"/>
              </w:rPr>
              <w:t>приквартирными</w:t>
            </w:r>
            <w:proofErr w:type="spellEnd"/>
            <w:r w:rsidRPr="009F35EA">
              <w:rPr>
                <w:rFonts w:ascii="Times New Roman" w:hAnsi="Times New Roman" w:cs="Times New Roman"/>
                <w:szCs w:val="22"/>
              </w:rPr>
              <w:t xml:space="preserve"> земельными участками</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0,3</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0,6</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1.5</w:t>
            </w:r>
          </w:p>
        </w:tc>
        <w:tc>
          <w:tcPr>
            <w:tcW w:w="583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Застройка одно-, двухквартирными жилыми домами с приусадебными земельными участками</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0,2</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0,4</w:t>
            </w:r>
          </w:p>
        </w:tc>
      </w:tr>
      <w:tr w:rsidR="009F35EA" w:rsidRPr="009F35EA">
        <w:tc>
          <w:tcPr>
            <w:tcW w:w="624" w:type="dxa"/>
          </w:tcPr>
          <w:p w:rsidR="009F35EA" w:rsidRPr="009F35EA" w:rsidRDefault="009F35EA" w:rsidP="009F35EA">
            <w:pPr>
              <w:pStyle w:val="ConsPlusNormal"/>
              <w:rPr>
                <w:rFonts w:ascii="Times New Roman" w:hAnsi="Times New Roman" w:cs="Times New Roman"/>
                <w:szCs w:val="22"/>
              </w:rPr>
            </w:pPr>
          </w:p>
        </w:tc>
        <w:tc>
          <w:tcPr>
            <w:tcW w:w="9013" w:type="dxa"/>
            <w:gridSpan w:val="3"/>
          </w:tcPr>
          <w:p w:rsidR="009F35EA" w:rsidRPr="009F35EA" w:rsidRDefault="009F35EA" w:rsidP="009F35EA">
            <w:pPr>
              <w:pStyle w:val="ConsPlusNormal"/>
              <w:jc w:val="center"/>
              <w:outlineLvl w:val="4"/>
              <w:rPr>
                <w:rFonts w:ascii="Times New Roman" w:hAnsi="Times New Roman" w:cs="Times New Roman"/>
                <w:szCs w:val="22"/>
              </w:rPr>
            </w:pPr>
            <w:r w:rsidRPr="009F35EA">
              <w:rPr>
                <w:rFonts w:ascii="Times New Roman" w:hAnsi="Times New Roman" w:cs="Times New Roman"/>
                <w:szCs w:val="22"/>
              </w:rPr>
              <w:t>2. Общественно-деловая</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2.1</w:t>
            </w:r>
          </w:p>
        </w:tc>
        <w:tc>
          <w:tcPr>
            <w:tcW w:w="583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Многофункциональная застройка</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1,0</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3,0</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2.2</w:t>
            </w:r>
          </w:p>
        </w:tc>
        <w:tc>
          <w:tcPr>
            <w:tcW w:w="5839" w:type="dxa"/>
          </w:tcPr>
          <w:p w:rsidR="009F35EA" w:rsidRPr="009F35EA" w:rsidRDefault="009F35EA" w:rsidP="009F35EA">
            <w:pPr>
              <w:pStyle w:val="ConsPlusNormal"/>
              <w:jc w:val="both"/>
              <w:rPr>
                <w:rFonts w:ascii="Times New Roman" w:hAnsi="Times New Roman" w:cs="Times New Roman"/>
                <w:szCs w:val="22"/>
              </w:rPr>
            </w:pPr>
            <w:r w:rsidRPr="009F35EA">
              <w:rPr>
                <w:rFonts w:ascii="Times New Roman" w:hAnsi="Times New Roman" w:cs="Times New Roman"/>
                <w:szCs w:val="22"/>
              </w:rPr>
              <w:t>Специализированная общественная застройка</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0,8</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2,4</w:t>
            </w:r>
          </w:p>
        </w:tc>
      </w:tr>
      <w:tr w:rsidR="009F35EA" w:rsidRPr="009F35EA">
        <w:tc>
          <w:tcPr>
            <w:tcW w:w="624" w:type="dxa"/>
          </w:tcPr>
          <w:p w:rsidR="009F35EA" w:rsidRPr="009F35EA" w:rsidRDefault="009F35EA" w:rsidP="009F35EA">
            <w:pPr>
              <w:pStyle w:val="ConsPlusNormal"/>
              <w:rPr>
                <w:rFonts w:ascii="Times New Roman" w:hAnsi="Times New Roman" w:cs="Times New Roman"/>
                <w:szCs w:val="22"/>
              </w:rPr>
            </w:pPr>
          </w:p>
        </w:tc>
        <w:tc>
          <w:tcPr>
            <w:tcW w:w="9013" w:type="dxa"/>
            <w:gridSpan w:val="3"/>
          </w:tcPr>
          <w:p w:rsidR="009F35EA" w:rsidRPr="009F35EA" w:rsidRDefault="009F35EA" w:rsidP="009F35EA">
            <w:pPr>
              <w:pStyle w:val="ConsPlusNormal"/>
              <w:jc w:val="center"/>
              <w:outlineLvl w:val="4"/>
              <w:rPr>
                <w:rFonts w:ascii="Times New Roman" w:hAnsi="Times New Roman" w:cs="Times New Roman"/>
                <w:szCs w:val="22"/>
              </w:rPr>
            </w:pPr>
            <w:r w:rsidRPr="009F35EA">
              <w:rPr>
                <w:rFonts w:ascii="Times New Roman" w:hAnsi="Times New Roman" w:cs="Times New Roman"/>
                <w:szCs w:val="22"/>
              </w:rPr>
              <w:t>3. Производственная</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3.1</w:t>
            </w:r>
          </w:p>
        </w:tc>
        <w:tc>
          <w:tcPr>
            <w:tcW w:w="583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Промышленная</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0,8</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2,4</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3.2</w:t>
            </w:r>
          </w:p>
        </w:tc>
        <w:tc>
          <w:tcPr>
            <w:tcW w:w="583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xml:space="preserve">Научно-производственная </w:t>
            </w:r>
            <w:hyperlink w:anchor="P710" w:history="1">
              <w:r w:rsidRPr="009F35EA">
                <w:rPr>
                  <w:rFonts w:ascii="Times New Roman" w:hAnsi="Times New Roman" w:cs="Times New Roman"/>
                  <w:color w:val="0000FF"/>
                  <w:szCs w:val="22"/>
                </w:rPr>
                <w:t>&lt;*&gt;</w:t>
              </w:r>
            </w:hyperlink>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0,6</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1,0</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3.3</w:t>
            </w:r>
          </w:p>
        </w:tc>
        <w:tc>
          <w:tcPr>
            <w:tcW w:w="583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Коммунально-складская</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0,6</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1,8</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w:t>
      </w:r>
    </w:p>
    <w:p w:rsidR="009F35EA" w:rsidRPr="009F35EA" w:rsidRDefault="009F35EA" w:rsidP="009F35EA">
      <w:pPr>
        <w:pStyle w:val="ConsPlusNormal"/>
        <w:ind w:firstLine="540"/>
        <w:jc w:val="both"/>
        <w:rPr>
          <w:rFonts w:ascii="Times New Roman" w:hAnsi="Times New Roman" w:cs="Times New Roman"/>
          <w:szCs w:val="22"/>
        </w:rPr>
      </w:pPr>
      <w:bookmarkStart w:id="3" w:name="P710"/>
      <w:bookmarkEnd w:id="3"/>
      <w:r w:rsidRPr="009F35EA">
        <w:rPr>
          <w:rFonts w:ascii="Times New Roman" w:hAnsi="Times New Roman" w:cs="Times New Roman"/>
          <w:szCs w:val="22"/>
        </w:rPr>
        <w:t>&lt;*&gt; Без учета опытных полей и полигонов, резервных территорий и санитарно-защитных зон.</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Примечания:</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2.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данных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bookmarkStart w:id="4" w:name="P716"/>
      <w:bookmarkEnd w:id="4"/>
      <w:r w:rsidRPr="009F35EA">
        <w:rPr>
          <w:rFonts w:ascii="Times New Roman" w:hAnsi="Times New Roman" w:cs="Times New Roman"/>
          <w:szCs w:val="22"/>
        </w:rPr>
        <w:t xml:space="preserve">Таблица 1.6.10. Расчетные показатели минимально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уровня обеспеченности населения элементами (площадками)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дворового благоустройства</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406"/>
        <w:gridCol w:w="2608"/>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406"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Площадки</w:t>
            </w:r>
          </w:p>
        </w:tc>
        <w:tc>
          <w:tcPr>
            <w:tcW w:w="260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Удельные размеры площадок, кв. м/чел.</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406"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Для игр детей дошкольного и младшего школьного возраста</w:t>
            </w:r>
          </w:p>
        </w:tc>
        <w:tc>
          <w:tcPr>
            <w:tcW w:w="260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0,7</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6406"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Для отдыха взрослого населения</w:t>
            </w:r>
          </w:p>
        </w:tc>
        <w:tc>
          <w:tcPr>
            <w:tcW w:w="260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6406"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Для занятий физкультурой</w:t>
            </w:r>
          </w:p>
        </w:tc>
        <w:tc>
          <w:tcPr>
            <w:tcW w:w="260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2,0</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6406"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Для хозяйственных целей и выгула собак</w:t>
            </w:r>
          </w:p>
        </w:tc>
        <w:tc>
          <w:tcPr>
            <w:tcW w:w="260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0,3</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6406"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Озеленение (без учета площадок)</w:t>
            </w:r>
          </w:p>
        </w:tc>
        <w:tc>
          <w:tcPr>
            <w:tcW w:w="260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0,9</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bookmarkStart w:id="5" w:name="P740"/>
      <w:bookmarkEnd w:id="5"/>
      <w:r w:rsidRPr="009F35EA">
        <w:rPr>
          <w:rFonts w:ascii="Times New Roman" w:hAnsi="Times New Roman" w:cs="Times New Roman"/>
          <w:szCs w:val="22"/>
        </w:rPr>
        <w:t xml:space="preserve">Таблица 1.6.11. Расчетные показатели минимально </w:t>
      </w:r>
      <w:proofErr w:type="gramStart"/>
      <w:r w:rsidRPr="009F35EA">
        <w:rPr>
          <w:rFonts w:ascii="Times New Roman" w:hAnsi="Times New Roman" w:cs="Times New Roman"/>
          <w:szCs w:val="22"/>
        </w:rPr>
        <w:t>допустимого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уровня обеспеченности населения озелененными территориями</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3175"/>
        <w:gridCol w:w="1474"/>
      </w:tblGrid>
      <w:tr w:rsidR="009F35EA" w:rsidRPr="009F35EA">
        <w:tc>
          <w:tcPr>
            <w:tcW w:w="4989"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объекта</w:t>
            </w:r>
          </w:p>
        </w:tc>
        <w:tc>
          <w:tcPr>
            <w:tcW w:w="3175"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4989" w:type="dxa"/>
            <w:vMerge w:val="restart"/>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xml:space="preserve">Площадь озелененной территории микрорайона (квартала) многоквартирной застройки жилой зоны </w:t>
            </w:r>
            <w:hyperlink w:anchor="P753" w:history="1">
              <w:r w:rsidRPr="009F35EA">
                <w:rPr>
                  <w:rFonts w:ascii="Times New Roman" w:hAnsi="Times New Roman" w:cs="Times New Roman"/>
                  <w:color w:val="0000FF"/>
                  <w:szCs w:val="22"/>
                </w:rPr>
                <w:t>&lt;*&gt;</w:t>
              </w:r>
            </w:hyperlink>
          </w:p>
        </w:tc>
        <w:tc>
          <w:tcPr>
            <w:tcW w:w="3175"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кв. м на 1 человека</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r>
      <w:tr w:rsidR="009F35EA" w:rsidRPr="009F35EA">
        <w:tc>
          <w:tcPr>
            <w:tcW w:w="4989" w:type="dxa"/>
            <w:vMerge/>
          </w:tcPr>
          <w:p w:rsidR="009F35EA" w:rsidRPr="009F35EA" w:rsidRDefault="009F35EA" w:rsidP="009F35EA">
            <w:pPr>
              <w:spacing w:after="0" w:line="240" w:lineRule="auto"/>
              <w:rPr>
                <w:rFonts w:ascii="Times New Roman" w:hAnsi="Times New Roman" w:cs="Times New Roman"/>
              </w:rPr>
            </w:pPr>
          </w:p>
        </w:tc>
        <w:tc>
          <w:tcPr>
            <w:tcW w:w="3175"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процентов от площади территории микрорайона (квартала)</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25</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w:t>
      </w:r>
    </w:p>
    <w:p w:rsidR="009F35EA" w:rsidRPr="009F35EA" w:rsidRDefault="009F35EA" w:rsidP="009F35EA">
      <w:pPr>
        <w:pStyle w:val="ConsPlusNormal"/>
        <w:ind w:firstLine="540"/>
        <w:jc w:val="both"/>
        <w:rPr>
          <w:rFonts w:ascii="Times New Roman" w:hAnsi="Times New Roman" w:cs="Times New Roman"/>
          <w:szCs w:val="22"/>
        </w:rPr>
      </w:pPr>
      <w:bookmarkStart w:id="6" w:name="P753"/>
      <w:bookmarkEnd w:id="6"/>
      <w:r w:rsidRPr="009F35EA">
        <w:rPr>
          <w:rFonts w:ascii="Times New Roman" w:hAnsi="Times New Roman" w:cs="Times New Roman"/>
          <w:szCs w:val="22"/>
        </w:rPr>
        <w:t>&lt;*&gt; Без учета участков общеобразовательных и дошкольных образовательных учреждений.</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1"/>
        <w:rPr>
          <w:rFonts w:ascii="Times New Roman" w:hAnsi="Times New Roman" w:cs="Times New Roman"/>
          <w:szCs w:val="22"/>
        </w:rPr>
      </w:pPr>
      <w:bookmarkStart w:id="7" w:name="P755"/>
      <w:bookmarkEnd w:id="7"/>
      <w:r w:rsidRPr="009F35EA">
        <w:rPr>
          <w:rFonts w:ascii="Times New Roman" w:hAnsi="Times New Roman" w:cs="Times New Roman"/>
          <w:szCs w:val="22"/>
        </w:rPr>
        <w:t>Глава 2. МАТЕРИАЛЫ ПО ОБОСНОВАНИЮ РАСЧЕТНЫХ ПОКАЗАТЕЛЕЙ,</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СОДЕРЖАЩИХСЯ В ГЛАВЕ 1 РЕГИОНАЛЬНЫХ НОРМАТИВОВ</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2"/>
        <w:rPr>
          <w:rFonts w:ascii="Times New Roman" w:hAnsi="Times New Roman" w:cs="Times New Roman"/>
          <w:szCs w:val="22"/>
        </w:rPr>
      </w:pPr>
      <w:r w:rsidRPr="009F35EA">
        <w:rPr>
          <w:rFonts w:ascii="Times New Roman" w:hAnsi="Times New Roman" w:cs="Times New Roman"/>
          <w:szCs w:val="22"/>
        </w:rPr>
        <w:t>2.1. Обоснование расчетных показателей минимально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обеспеченности объектами в сфере</w:t>
      </w:r>
    </w:p>
    <w:p w:rsidR="009F35EA" w:rsidRPr="009F35EA" w:rsidRDefault="009F35EA" w:rsidP="009F35EA">
      <w:pPr>
        <w:pStyle w:val="ConsPlusNormal"/>
        <w:jc w:val="center"/>
        <w:rPr>
          <w:rFonts w:ascii="Times New Roman" w:hAnsi="Times New Roman" w:cs="Times New Roman"/>
          <w:szCs w:val="22"/>
        </w:rPr>
      </w:pPr>
      <w:proofErr w:type="gramStart"/>
      <w:r w:rsidRPr="009F35EA">
        <w:rPr>
          <w:rFonts w:ascii="Times New Roman" w:hAnsi="Times New Roman" w:cs="Times New Roman"/>
          <w:szCs w:val="22"/>
        </w:rPr>
        <w:t>транспорта (железнодорожного, водного, воздушного</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транспорта), автомобильных дорог регионального или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межмуниципального значения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Таблица 2.1.1. Сравнение расчетных показателей</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обеспеченности объектами транспортной инфраструктуры</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819"/>
        <w:gridCol w:w="1134"/>
        <w:gridCol w:w="1134"/>
        <w:gridCol w:w="1134"/>
        <w:gridCol w:w="1134"/>
        <w:gridCol w:w="1134"/>
      </w:tblGrid>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4819"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II</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III</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IV</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V</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Железнодорожные вокзалы</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1134" w:type="dxa"/>
            <w:vMerge w:val="restart"/>
            <w:tcBorders>
              <w:bottom w:val="nil"/>
            </w:tcBorders>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Железнодорожные станции</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64</w:t>
            </w:r>
          </w:p>
        </w:tc>
        <w:tc>
          <w:tcPr>
            <w:tcW w:w="1134" w:type="dxa"/>
            <w:vMerge/>
            <w:tcBorders>
              <w:bottom w:val="nil"/>
            </w:tcBorders>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64</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64</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Автовокзалы</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1134" w:type="dxa"/>
            <w:vMerge/>
            <w:tcBorders>
              <w:bottom w:val="nil"/>
            </w:tcBorders>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Автостанции</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18</w:t>
            </w:r>
          </w:p>
        </w:tc>
        <w:tc>
          <w:tcPr>
            <w:tcW w:w="1134" w:type="dxa"/>
            <w:vMerge/>
            <w:tcBorders>
              <w:bottom w:val="nil"/>
            </w:tcBorders>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23</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18</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5</w:t>
            </w: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Речные порты</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1134" w:type="dxa"/>
            <w:vMerge/>
            <w:tcBorders>
              <w:bottom w:val="nil"/>
            </w:tcBorders>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r>
      <w:tr w:rsidR="009F35EA" w:rsidRPr="009F35EA">
        <w:tc>
          <w:tcPr>
            <w:tcW w:w="510"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Протяженность автомобильных дорог - всего</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6476,6</w:t>
            </w:r>
          </w:p>
        </w:tc>
        <w:tc>
          <w:tcPr>
            <w:tcW w:w="1134" w:type="dxa"/>
            <w:vMerge/>
            <w:tcBorders>
              <w:bottom w:val="nil"/>
            </w:tcBorders>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6782,2</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6476,6</w:t>
            </w:r>
          </w:p>
        </w:tc>
      </w:tr>
      <w:tr w:rsidR="009F35EA" w:rsidRPr="009F35EA">
        <w:tc>
          <w:tcPr>
            <w:tcW w:w="510" w:type="dxa"/>
            <w:vMerge/>
          </w:tcPr>
          <w:p w:rsidR="009F35EA" w:rsidRPr="009F35EA" w:rsidRDefault="009F35EA" w:rsidP="009F35EA">
            <w:pPr>
              <w:spacing w:after="0" w:line="240" w:lineRule="auto"/>
              <w:rPr>
                <w:rFonts w:ascii="Times New Roman" w:hAnsi="Times New Roman" w:cs="Times New Roman"/>
              </w:rPr>
            </w:pP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региональных</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1754,7</w:t>
            </w:r>
          </w:p>
        </w:tc>
        <w:tc>
          <w:tcPr>
            <w:tcW w:w="1134" w:type="dxa"/>
            <w:vMerge/>
            <w:tcBorders>
              <w:bottom w:val="nil"/>
            </w:tcBorders>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2675,0</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1454,7</w:t>
            </w:r>
          </w:p>
        </w:tc>
      </w:tr>
      <w:tr w:rsidR="009F35EA" w:rsidRPr="009F35EA">
        <w:tc>
          <w:tcPr>
            <w:tcW w:w="510" w:type="dxa"/>
            <w:vMerge/>
          </w:tcPr>
          <w:p w:rsidR="009F35EA" w:rsidRPr="009F35EA" w:rsidRDefault="009F35EA" w:rsidP="009F35EA">
            <w:pPr>
              <w:spacing w:after="0" w:line="240" w:lineRule="auto"/>
              <w:rPr>
                <w:rFonts w:ascii="Times New Roman" w:hAnsi="Times New Roman" w:cs="Times New Roman"/>
              </w:rPr>
            </w:pP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межмуниципальных</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4721,9</w:t>
            </w:r>
          </w:p>
        </w:tc>
        <w:tc>
          <w:tcPr>
            <w:tcW w:w="1134" w:type="dxa"/>
            <w:vMerge/>
            <w:tcBorders>
              <w:bottom w:val="nil"/>
            </w:tcBorders>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4107,2</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4721,9</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w:t>
            </w: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xml:space="preserve">Средняя плотность автомобильных дорог с твердым покрытием </w:t>
            </w:r>
            <w:proofErr w:type="gramStart"/>
            <w:r w:rsidRPr="009F35EA">
              <w:rPr>
                <w:rFonts w:ascii="Times New Roman" w:hAnsi="Times New Roman" w:cs="Times New Roman"/>
                <w:szCs w:val="22"/>
              </w:rPr>
              <w:t>км</w:t>
            </w:r>
            <w:proofErr w:type="gramEnd"/>
            <w:r w:rsidRPr="009F35EA">
              <w:rPr>
                <w:rFonts w:ascii="Times New Roman" w:hAnsi="Times New Roman" w:cs="Times New Roman"/>
                <w:szCs w:val="22"/>
              </w:rPr>
              <w:t>/1000 кв. км</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164</w:t>
            </w:r>
          </w:p>
        </w:tc>
        <w:tc>
          <w:tcPr>
            <w:tcW w:w="1134" w:type="dxa"/>
            <w:vMerge/>
            <w:tcBorders>
              <w:bottom w:val="nil"/>
            </w:tcBorders>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42,6</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194</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164</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w:t>
            </w: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Аэропорты</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1134" w:type="dxa"/>
            <w:vMerge/>
            <w:tcBorders>
              <w:bottom w:val="nil"/>
            </w:tcBorders>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r w:rsidR="009F35EA" w:rsidRPr="009F35EA">
        <w:tc>
          <w:tcPr>
            <w:tcW w:w="510"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9</w:t>
            </w:r>
          </w:p>
        </w:tc>
        <w:tc>
          <w:tcPr>
            <w:tcW w:w="4819" w:type="dxa"/>
            <w:vMerge w:val="restart"/>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Аэродромы гражданской авиации</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 посадочные площадки</w:t>
            </w:r>
          </w:p>
        </w:tc>
        <w:tc>
          <w:tcPr>
            <w:tcW w:w="1134" w:type="dxa"/>
            <w:tcBorders>
              <w:bottom w:val="nil"/>
            </w:tcBorders>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1134" w:type="dxa"/>
            <w:vMerge/>
            <w:tcBorders>
              <w:bottom w:val="nil"/>
            </w:tcBorders>
          </w:tcPr>
          <w:p w:rsidR="009F35EA" w:rsidRPr="009F35EA" w:rsidRDefault="009F35EA" w:rsidP="009F35EA">
            <w:pPr>
              <w:spacing w:after="0" w:line="240" w:lineRule="auto"/>
              <w:rPr>
                <w:rFonts w:ascii="Times New Roman" w:hAnsi="Times New Roman" w:cs="Times New Roman"/>
              </w:rPr>
            </w:pPr>
          </w:p>
        </w:tc>
        <w:tc>
          <w:tcPr>
            <w:tcW w:w="1134" w:type="dxa"/>
            <w:tcBorders>
              <w:bottom w:val="nil"/>
            </w:tcBorders>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Borders>
              <w:bottom w:val="nil"/>
            </w:tcBorders>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w:t>
            </w:r>
          </w:p>
        </w:tc>
        <w:tc>
          <w:tcPr>
            <w:tcW w:w="1134" w:type="dxa"/>
            <w:tcBorders>
              <w:bottom w:val="nil"/>
            </w:tcBorders>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r>
      <w:tr w:rsidR="009F35EA" w:rsidRPr="009F35EA">
        <w:tblPrEx>
          <w:tblBorders>
            <w:insideH w:val="nil"/>
          </w:tblBorders>
        </w:tblPrEx>
        <w:tc>
          <w:tcPr>
            <w:tcW w:w="510" w:type="dxa"/>
            <w:vMerge/>
          </w:tcPr>
          <w:p w:rsidR="009F35EA" w:rsidRPr="009F35EA" w:rsidRDefault="009F35EA" w:rsidP="009F35EA">
            <w:pPr>
              <w:spacing w:after="0" w:line="240" w:lineRule="auto"/>
              <w:rPr>
                <w:rFonts w:ascii="Times New Roman" w:hAnsi="Times New Roman" w:cs="Times New Roman"/>
              </w:rPr>
            </w:pPr>
          </w:p>
        </w:tc>
        <w:tc>
          <w:tcPr>
            <w:tcW w:w="4819" w:type="dxa"/>
            <w:vMerge/>
          </w:tcPr>
          <w:p w:rsidR="009F35EA" w:rsidRPr="009F35EA" w:rsidRDefault="009F35EA" w:rsidP="009F35EA">
            <w:pPr>
              <w:spacing w:after="0" w:line="240" w:lineRule="auto"/>
              <w:rPr>
                <w:rFonts w:ascii="Times New Roman" w:hAnsi="Times New Roman" w:cs="Times New Roman"/>
              </w:rPr>
            </w:pPr>
          </w:p>
        </w:tc>
        <w:tc>
          <w:tcPr>
            <w:tcW w:w="1134" w:type="dxa"/>
            <w:tcBorders>
              <w:top w:val="nil"/>
            </w:tcBorders>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1134" w:type="dxa"/>
            <w:tcBorders>
              <w:top w:val="nil"/>
            </w:tcBorders>
          </w:tcPr>
          <w:p w:rsidR="009F35EA" w:rsidRPr="009F35EA" w:rsidRDefault="009F35EA" w:rsidP="009F35EA">
            <w:pPr>
              <w:pStyle w:val="ConsPlusNormal"/>
              <w:rPr>
                <w:rFonts w:ascii="Times New Roman" w:hAnsi="Times New Roman" w:cs="Times New Roman"/>
                <w:szCs w:val="22"/>
              </w:rPr>
            </w:pPr>
          </w:p>
        </w:tc>
        <w:tc>
          <w:tcPr>
            <w:tcW w:w="1134" w:type="dxa"/>
            <w:tcBorders>
              <w:top w:val="nil"/>
            </w:tcBorders>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Borders>
              <w:top w:val="nil"/>
            </w:tcBorders>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1134" w:type="dxa"/>
            <w:tcBorders>
              <w:top w:val="nil"/>
            </w:tcBorders>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I - фактическое количество объектов по состоянию на 01.01.2014 на территории Ярославской области.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II - нормативное количество объектов на территории Ярославской области в соответствии с региональными </w:t>
      </w:r>
      <w:hyperlink r:id="rId24" w:history="1">
        <w:r w:rsidRPr="009F35EA">
          <w:rPr>
            <w:rFonts w:ascii="Times New Roman" w:hAnsi="Times New Roman" w:cs="Times New Roman"/>
            <w:color w:val="0000FF"/>
            <w:szCs w:val="22"/>
          </w:rPr>
          <w:t>нормативами</w:t>
        </w:r>
      </w:hyperlink>
      <w:r w:rsidRPr="009F35EA">
        <w:rPr>
          <w:rFonts w:ascii="Times New Roman" w:hAnsi="Times New Roman" w:cs="Times New Roman"/>
          <w:szCs w:val="22"/>
        </w:rPr>
        <w:t xml:space="preserve"> градостроительного проектирования Ярославской области, утвержденными постановлением Администрации области от 13.02.2008 N 33-а "Об утверждении региональных нормативов градостроительного проектирования Ярославской области" (далее - постановление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III - нормативные показатели в соответствии с Транспортной </w:t>
      </w:r>
      <w:hyperlink r:id="rId25" w:history="1">
        <w:r w:rsidRPr="009F35EA">
          <w:rPr>
            <w:rFonts w:ascii="Times New Roman" w:hAnsi="Times New Roman" w:cs="Times New Roman"/>
            <w:color w:val="0000FF"/>
            <w:szCs w:val="22"/>
          </w:rPr>
          <w:t>стратегией</w:t>
        </w:r>
      </w:hyperlink>
      <w:r w:rsidRPr="009F35EA">
        <w:rPr>
          <w:rFonts w:ascii="Times New Roman" w:hAnsi="Times New Roman" w:cs="Times New Roman"/>
          <w:szCs w:val="22"/>
        </w:rPr>
        <w:t xml:space="preserve"> Российской Федерации на период до 2030 года, утвержденной распоряжением Правительства Российской Федерации от 22 ноября 2008 г. N 1734-р.</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IV - планируемое количество объектов на территории Ярославской области в соответствии с проектом Схемы территориального планирования Ярославской области до 2025 года (далее - СТП ЯО).</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V - значения минимально допустимого уровня обеспеченности объектами транспортной инфраструктуры, рекомендуемые для установления в региональных нормативах.</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Расчетные показатели минимально допустимого уровня обеспеченности населения объектами транспортной инфраструктуры регионального значения Ярославской области рекомендуется устанавливать исходя из существующего уровня обеспеченности указанными объектами с учетом проектных предложений СТП ЯО на расчетный срок до 2025 года.</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Таблица 2.1.2. Обоснование расчетных показателей максимально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территориальной доступности объектов</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транспортной инфраструктуры</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75"/>
        <w:gridCol w:w="1361"/>
        <w:gridCol w:w="2268"/>
        <w:gridCol w:w="2324"/>
      </w:tblGrid>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3175"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36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c>
          <w:tcPr>
            <w:tcW w:w="23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Обоснование</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Железнодорожные вокзалы</w:t>
            </w:r>
          </w:p>
        </w:tc>
        <w:tc>
          <w:tcPr>
            <w:tcW w:w="1361"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2268"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затраты времени на передвижения в большой, крупный и крупнейший город-центр не более 120 мин., в малые и средние города-центры или </w:t>
            </w:r>
            <w:proofErr w:type="spellStart"/>
            <w:r w:rsidRPr="009F35EA">
              <w:rPr>
                <w:rFonts w:ascii="Times New Roman" w:hAnsi="Times New Roman" w:cs="Times New Roman"/>
                <w:szCs w:val="22"/>
              </w:rPr>
              <w:t>подцентры</w:t>
            </w:r>
            <w:proofErr w:type="spellEnd"/>
            <w:r w:rsidRPr="009F35EA">
              <w:rPr>
                <w:rFonts w:ascii="Times New Roman" w:hAnsi="Times New Roman" w:cs="Times New Roman"/>
                <w:szCs w:val="22"/>
              </w:rPr>
              <w:t xml:space="preserve"> систем расселения - не более 60 мин.</w:t>
            </w:r>
          </w:p>
        </w:tc>
        <w:tc>
          <w:tcPr>
            <w:tcW w:w="232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подпункт 10.2 пункта 10 Свода правил "СП 42.13330.2011. Градостроительство. Планировка и застройка городских и сельских поселений. Актуализированная редакция </w:t>
            </w:r>
            <w:proofErr w:type="spellStart"/>
            <w:r w:rsidRPr="009F35EA">
              <w:rPr>
                <w:rFonts w:ascii="Times New Roman" w:hAnsi="Times New Roman" w:cs="Times New Roman"/>
                <w:szCs w:val="22"/>
              </w:rPr>
              <w:t>СНиП</w:t>
            </w:r>
            <w:proofErr w:type="spellEnd"/>
            <w:r w:rsidRPr="009F35EA">
              <w:rPr>
                <w:rFonts w:ascii="Times New Roman" w:hAnsi="Times New Roman" w:cs="Times New Roman"/>
                <w:szCs w:val="22"/>
              </w:rPr>
              <w:t xml:space="preserve"> 2.07.01-89*" (далее - СП 42.13330.2011)</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Железнодорожные станции</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324"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Автовокзалы</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324"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Автостанции</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324"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Речные порты</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324"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Аэропорты</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324"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Аэродромы гражданской авиации, в том числе посадочные площадки</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324" w:type="dxa"/>
            <w:vMerge/>
          </w:tcPr>
          <w:p w:rsidR="009F35EA" w:rsidRPr="009F35EA" w:rsidRDefault="009F35EA" w:rsidP="009F35EA">
            <w:pPr>
              <w:spacing w:after="0" w:line="240" w:lineRule="auto"/>
              <w:rPr>
                <w:rFonts w:ascii="Times New Roman" w:hAnsi="Times New Roman" w:cs="Times New Roman"/>
              </w:rPr>
            </w:pP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Расчетные показатели максимально допустимого уровня территориальной доступности объектов транспортной инфраструктуры рекомендуется устанавливать в соответствии с требованиями подпункта 10.2 пункта 10 СП 42.13330.2011, для существующей сети объектов транспортной инфраструктуры указанные требования выполняются.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2"/>
        <w:rPr>
          <w:rFonts w:ascii="Times New Roman" w:hAnsi="Times New Roman" w:cs="Times New Roman"/>
          <w:szCs w:val="22"/>
        </w:rPr>
      </w:pPr>
      <w:r w:rsidRPr="009F35EA">
        <w:rPr>
          <w:rFonts w:ascii="Times New Roman" w:hAnsi="Times New Roman" w:cs="Times New Roman"/>
          <w:szCs w:val="22"/>
        </w:rPr>
        <w:t>2.2. Обоснование расчетных показателей минимально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обеспеченности объектами в сфере</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предупреждения чрезвычайных ситуаций, стихийных бедствий,</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эпидемий и ликвидации их последствий</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 xml:space="preserve">Таблица 2.2.1. Сравнение расчетных показателей учреждений </w:t>
      </w:r>
      <w:proofErr w:type="gramStart"/>
      <w:r w:rsidRPr="009F35EA">
        <w:rPr>
          <w:rFonts w:ascii="Times New Roman" w:hAnsi="Times New Roman" w:cs="Times New Roman"/>
          <w:szCs w:val="22"/>
        </w:rPr>
        <w:t>в</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сфере предупреждения чрезвычайных ситуаций, стихийных</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бедствий, эпидемий и ликвидации их последствий</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592"/>
        <w:gridCol w:w="1134"/>
        <w:gridCol w:w="1134"/>
        <w:gridCol w:w="1134"/>
        <w:gridCol w:w="1134"/>
      </w:tblGrid>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4592"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II</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III</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IV</w:t>
            </w:r>
          </w:p>
        </w:tc>
      </w:tr>
      <w:tr w:rsidR="009F35EA" w:rsidRPr="009F35EA">
        <w:tc>
          <w:tcPr>
            <w:tcW w:w="510"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459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Пожарные депо</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lastRenderedPageBreak/>
              <w:t>в том числе:</w:t>
            </w:r>
          </w:p>
        </w:tc>
        <w:tc>
          <w:tcPr>
            <w:tcW w:w="1134" w:type="dxa"/>
          </w:tcPr>
          <w:p w:rsidR="009F35EA" w:rsidRPr="009F35EA" w:rsidRDefault="009F35EA" w:rsidP="009F35EA">
            <w:pPr>
              <w:pStyle w:val="ConsPlusNormal"/>
              <w:rPr>
                <w:rFonts w:ascii="Times New Roman" w:hAnsi="Times New Roman" w:cs="Times New Roman"/>
                <w:szCs w:val="22"/>
              </w:rPr>
            </w:pPr>
          </w:p>
        </w:tc>
        <w:tc>
          <w:tcPr>
            <w:tcW w:w="1134" w:type="dxa"/>
          </w:tcPr>
          <w:p w:rsidR="009F35EA" w:rsidRPr="009F35EA" w:rsidRDefault="009F35EA" w:rsidP="009F35EA">
            <w:pPr>
              <w:pStyle w:val="ConsPlusNormal"/>
              <w:rPr>
                <w:rFonts w:ascii="Times New Roman" w:hAnsi="Times New Roman" w:cs="Times New Roman"/>
                <w:szCs w:val="22"/>
              </w:rPr>
            </w:pPr>
          </w:p>
        </w:tc>
        <w:tc>
          <w:tcPr>
            <w:tcW w:w="1134" w:type="dxa"/>
          </w:tcPr>
          <w:p w:rsidR="009F35EA" w:rsidRPr="009F35EA" w:rsidRDefault="009F35EA" w:rsidP="009F35EA">
            <w:pPr>
              <w:pStyle w:val="ConsPlusNormal"/>
              <w:rPr>
                <w:rFonts w:ascii="Times New Roman" w:hAnsi="Times New Roman" w:cs="Times New Roman"/>
                <w:szCs w:val="22"/>
              </w:rPr>
            </w:pPr>
          </w:p>
        </w:tc>
        <w:tc>
          <w:tcPr>
            <w:tcW w:w="1134" w:type="dxa"/>
          </w:tcPr>
          <w:p w:rsidR="009F35EA" w:rsidRPr="009F35EA" w:rsidRDefault="009F35EA" w:rsidP="009F35EA">
            <w:pPr>
              <w:pStyle w:val="ConsPlusNormal"/>
              <w:rPr>
                <w:rFonts w:ascii="Times New Roman" w:hAnsi="Times New Roman" w:cs="Times New Roman"/>
                <w:szCs w:val="22"/>
              </w:rPr>
            </w:pPr>
          </w:p>
        </w:tc>
      </w:tr>
      <w:tr w:rsidR="009F35EA" w:rsidRPr="009F35EA">
        <w:tc>
          <w:tcPr>
            <w:tcW w:w="510" w:type="dxa"/>
            <w:vMerge/>
          </w:tcPr>
          <w:p w:rsidR="009F35EA" w:rsidRPr="009F35EA" w:rsidRDefault="009F35EA" w:rsidP="009F35EA">
            <w:pPr>
              <w:spacing w:after="0" w:line="240" w:lineRule="auto"/>
              <w:rPr>
                <w:rFonts w:ascii="Times New Roman" w:hAnsi="Times New Roman" w:cs="Times New Roman"/>
              </w:rPr>
            </w:pPr>
          </w:p>
        </w:tc>
        <w:tc>
          <w:tcPr>
            <w:tcW w:w="459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подразделения федеральной противопожарной службы, единиц</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0,003</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0,003</w:t>
            </w:r>
          </w:p>
        </w:tc>
      </w:tr>
      <w:tr w:rsidR="009F35EA" w:rsidRPr="009F35EA">
        <w:tc>
          <w:tcPr>
            <w:tcW w:w="510" w:type="dxa"/>
            <w:vMerge/>
          </w:tcPr>
          <w:p w:rsidR="009F35EA" w:rsidRPr="009F35EA" w:rsidRDefault="009F35EA" w:rsidP="009F35EA">
            <w:pPr>
              <w:spacing w:after="0" w:line="240" w:lineRule="auto"/>
              <w:rPr>
                <w:rFonts w:ascii="Times New Roman" w:hAnsi="Times New Roman" w:cs="Times New Roman"/>
              </w:rPr>
            </w:pPr>
          </w:p>
        </w:tc>
        <w:tc>
          <w:tcPr>
            <w:tcW w:w="459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территориальные подразделения противопожарной службы, единиц</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0,007</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0,007</w:t>
            </w:r>
          </w:p>
        </w:tc>
      </w:tr>
      <w:tr w:rsidR="009F35EA" w:rsidRPr="009F35EA">
        <w:tc>
          <w:tcPr>
            <w:tcW w:w="510" w:type="dxa"/>
            <w:vMerge/>
          </w:tcPr>
          <w:p w:rsidR="009F35EA" w:rsidRPr="009F35EA" w:rsidRDefault="009F35EA" w:rsidP="009F35EA">
            <w:pPr>
              <w:spacing w:after="0" w:line="240" w:lineRule="auto"/>
              <w:rPr>
                <w:rFonts w:ascii="Times New Roman" w:hAnsi="Times New Roman" w:cs="Times New Roman"/>
              </w:rPr>
            </w:pPr>
          </w:p>
        </w:tc>
        <w:tc>
          <w:tcPr>
            <w:tcW w:w="459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пожарные части, единиц</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0,04</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0,04</w:t>
            </w:r>
          </w:p>
        </w:tc>
      </w:tr>
      <w:tr w:rsidR="009F35EA" w:rsidRPr="009F35EA">
        <w:tc>
          <w:tcPr>
            <w:tcW w:w="510" w:type="dxa"/>
            <w:vMerge/>
          </w:tcPr>
          <w:p w:rsidR="009F35EA" w:rsidRPr="009F35EA" w:rsidRDefault="009F35EA" w:rsidP="009F35EA">
            <w:pPr>
              <w:spacing w:after="0" w:line="240" w:lineRule="auto"/>
              <w:rPr>
                <w:rFonts w:ascii="Times New Roman" w:hAnsi="Times New Roman" w:cs="Times New Roman"/>
              </w:rPr>
            </w:pPr>
          </w:p>
        </w:tc>
        <w:tc>
          <w:tcPr>
            <w:tcW w:w="459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количество пожарных машин</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0,3</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0,2</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0,3</w:t>
            </w:r>
          </w:p>
        </w:tc>
      </w:tr>
      <w:tr w:rsidR="009F35EA" w:rsidRPr="009F35EA">
        <w:tc>
          <w:tcPr>
            <w:tcW w:w="510"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459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Защитные сооружения гражданской обороны</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113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данные отсутствуют</w:t>
            </w:r>
          </w:p>
        </w:tc>
        <w:tc>
          <w:tcPr>
            <w:tcW w:w="1134" w:type="dxa"/>
          </w:tcPr>
          <w:p w:rsidR="009F35EA" w:rsidRPr="009F35EA" w:rsidRDefault="009F35EA" w:rsidP="009F35EA">
            <w:pPr>
              <w:pStyle w:val="ConsPlusNormal"/>
              <w:rPr>
                <w:rFonts w:ascii="Times New Roman" w:hAnsi="Times New Roman" w:cs="Times New Roman"/>
                <w:szCs w:val="22"/>
              </w:rPr>
            </w:pPr>
          </w:p>
        </w:tc>
        <w:tc>
          <w:tcPr>
            <w:tcW w:w="1134" w:type="dxa"/>
          </w:tcPr>
          <w:p w:rsidR="009F35EA" w:rsidRPr="009F35EA" w:rsidRDefault="009F35EA" w:rsidP="009F35EA">
            <w:pPr>
              <w:pStyle w:val="ConsPlusNormal"/>
              <w:rPr>
                <w:rFonts w:ascii="Times New Roman" w:hAnsi="Times New Roman" w:cs="Times New Roman"/>
                <w:szCs w:val="22"/>
              </w:rPr>
            </w:pPr>
          </w:p>
        </w:tc>
        <w:tc>
          <w:tcPr>
            <w:tcW w:w="1134" w:type="dxa"/>
          </w:tcPr>
          <w:p w:rsidR="009F35EA" w:rsidRPr="009F35EA" w:rsidRDefault="009F35EA" w:rsidP="009F35EA">
            <w:pPr>
              <w:pStyle w:val="ConsPlusNormal"/>
              <w:rPr>
                <w:rFonts w:ascii="Times New Roman" w:hAnsi="Times New Roman" w:cs="Times New Roman"/>
                <w:szCs w:val="22"/>
              </w:rPr>
            </w:pPr>
          </w:p>
        </w:tc>
      </w:tr>
      <w:tr w:rsidR="009F35EA" w:rsidRPr="009F35EA">
        <w:tc>
          <w:tcPr>
            <w:tcW w:w="510" w:type="dxa"/>
            <w:vMerge/>
          </w:tcPr>
          <w:p w:rsidR="009F35EA" w:rsidRPr="009F35EA" w:rsidRDefault="009F35EA" w:rsidP="009F35EA">
            <w:pPr>
              <w:spacing w:after="0" w:line="240" w:lineRule="auto"/>
              <w:rPr>
                <w:rFonts w:ascii="Times New Roman" w:hAnsi="Times New Roman" w:cs="Times New Roman"/>
              </w:rPr>
            </w:pPr>
          </w:p>
        </w:tc>
        <w:tc>
          <w:tcPr>
            <w:tcW w:w="459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убежища, мест</w:t>
            </w:r>
          </w:p>
        </w:tc>
        <w:tc>
          <w:tcPr>
            <w:tcW w:w="113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150</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150</w:t>
            </w:r>
          </w:p>
        </w:tc>
      </w:tr>
      <w:tr w:rsidR="009F35EA" w:rsidRPr="009F35EA">
        <w:tc>
          <w:tcPr>
            <w:tcW w:w="510" w:type="dxa"/>
            <w:vMerge/>
          </w:tcPr>
          <w:p w:rsidR="009F35EA" w:rsidRPr="009F35EA" w:rsidRDefault="009F35EA" w:rsidP="009F35EA">
            <w:pPr>
              <w:spacing w:after="0" w:line="240" w:lineRule="auto"/>
              <w:rPr>
                <w:rFonts w:ascii="Times New Roman" w:hAnsi="Times New Roman" w:cs="Times New Roman"/>
              </w:rPr>
            </w:pPr>
          </w:p>
        </w:tc>
        <w:tc>
          <w:tcPr>
            <w:tcW w:w="459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противорадиационные укрытия, мест</w:t>
            </w:r>
          </w:p>
        </w:tc>
        <w:tc>
          <w:tcPr>
            <w:tcW w:w="113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459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Объекты государственной инспекции по маломерным судам, единиц</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0,006</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0,006</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I - фактическое количество объектов на 1000 человек населения (при подготовке раздела использовались данные Главного управления МЧС России по Ярославской области).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II - нормативное количество единиц техники на 1000 человек в соответствии с региональными </w:t>
      </w:r>
      <w:hyperlink r:id="rId26" w:history="1">
        <w:r w:rsidRPr="009F35EA">
          <w:rPr>
            <w:rFonts w:ascii="Times New Roman" w:hAnsi="Times New Roman" w:cs="Times New Roman"/>
            <w:color w:val="0000FF"/>
            <w:szCs w:val="22"/>
          </w:rPr>
          <w:t>нормативами</w:t>
        </w:r>
      </w:hyperlink>
      <w:r w:rsidRPr="009F35EA">
        <w:rPr>
          <w:rFonts w:ascii="Times New Roman" w:hAnsi="Times New Roman" w:cs="Times New Roman"/>
          <w:szCs w:val="22"/>
        </w:rPr>
        <w:t xml:space="preserve"> градостроительного проектирования Ярославской области, утвержденными постановлением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proofErr w:type="gramStart"/>
      <w:r w:rsidRPr="009F35EA">
        <w:rPr>
          <w:rFonts w:ascii="Times New Roman" w:hAnsi="Times New Roman" w:cs="Times New Roman"/>
          <w:szCs w:val="22"/>
        </w:rPr>
        <w:t xml:space="preserve">III - нормативное количество мест на 1000 человек населения в соответствии с Федеральным </w:t>
      </w:r>
      <w:hyperlink r:id="rId27" w:history="1">
        <w:r w:rsidRPr="009F35EA">
          <w:rPr>
            <w:rFonts w:ascii="Times New Roman" w:hAnsi="Times New Roman" w:cs="Times New Roman"/>
            <w:color w:val="0000FF"/>
            <w:szCs w:val="22"/>
          </w:rPr>
          <w:t>законом</w:t>
        </w:r>
      </w:hyperlink>
      <w:r w:rsidRPr="009F35EA">
        <w:rPr>
          <w:rFonts w:ascii="Times New Roman" w:hAnsi="Times New Roman" w:cs="Times New Roman"/>
          <w:szCs w:val="22"/>
        </w:rPr>
        <w:t xml:space="preserve"> от 22 июля 2008 года N 123-ФЗ "Технический регламент о требованиях пожарной безопасности" (далее - Федеральный закон от 22 июля 2008 года N 123-ФЗ), нормами пожарной безопасности НПБ 101-95 "Нормы проектирования объектов пожарной охраны" (далее - нормы пожарной безопасности НПБ 101-95), Сводом </w:t>
      </w:r>
      <w:hyperlink r:id="rId28" w:history="1">
        <w:r w:rsidRPr="009F35EA">
          <w:rPr>
            <w:rFonts w:ascii="Times New Roman" w:hAnsi="Times New Roman" w:cs="Times New Roman"/>
            <w:color w:val="0000FF"/>
            <w:szCs w:val="22"/>
          </w:rPr>
          <w:t>правил</w:t>
        </w:r>
      </w:hyperlink>
      <w:r w:rsidRPr="009F35EA">
        <w:rPr>
          <w:rFonts w:ascii="Times New Roman" w:hAnsi="Times New Roman" w:cs="Times New Roman"/>
          <w:szCs w:val="22"/>
        </w:rPr>
        <w:t xml:space="preserve"> "СП 11.13130.2009.</w:t>
      </w:r>
      <w:proofErr w:type="gramEnd"/>
      <w:r w:rsidRPr="009F35EA">
        <w:rPr>
          <w:rFonts w:ascii="Times New Roman" w:hAnsi="Times New Roman" w:cs="Times New Roman"/>
          <w:szCs w:val="22"/>
        </w:rPr>
        <w:t xml:space="preserve"> Места дислокации подразделений пожарной охраны. Порядок и методика определения", СП 42.13330.2011.</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IV - значения расчетных показателей на 1000 человек, рекомендуемые для установления в региональных нормативах.</w:t>
      </w:r>
    </w:p>
    <w:p w:rsidR="009F35EA" w:rsidRPr="009F35EA" w:rsidRDefault="009F35EA" w:rsidP="009F35EA">
      <w:pPr>
        <w:pStyle w:val="ConsPlusNormal"/>
        <w:ind w:firstLine="540"/>
        <w:jc w:val="both"/>
        <w:rPr>
          <w:rFonts w:ascii="Times New Roman" w:hAnsi="Times New Roman" w:cs="Times New Roman"/>
          <w:szCs w:val="22"/>
        </w:rPr>
      </w:pPr>
      <w:proofErr w:type="gramStart"/>
      <w:r w:rsidRPr="009F35EA">
        <w:rPr>
          <w:rFonts w:ascii="Times New Roman" w:hAnsi="Times New Roman" w:cs="Times New Roman"/>
          <w:szCs w:val="22"/>
        </w:rPr>
        <w:t>Расчетные показатели минимально допустимого уровня обеспеченности населения объектами в сфере предупреждения чрезвычайных ситуаций, стихийных бедствий, эпидемий и ликвидации их последствий Ярославской области рекомендуется устанавливать на уровне не ниже существующей обеспеченности такими объектами ввиду отсутствия данных по защитным сооружениям гражданской обороны, расчетные показатели минимально допустимого уровня обеспеченности населения такими объектами принимаются в соответствии со Сводом правил "СП 88.13330.2014.</w:t>
      </w:r>
      <w:proofErr w:type="gramEnd"/>
      <w:r w:rsidRPr="009F35EA">
        <w:rPr>
          <w:rFonts w:ascii="Times New Roman" w:hAnsi="Times New Roman" w:cs="Times New Roman"/>
          <w:szCs w:val="22"/>
        </w:rPr>
        <w:t xml:space="preserve"> Защитные сооружения гражданской обороны. Актуализированная редакция </w:t>
      </w:r>
      <w:proofErr w:type="spellStart"/>
      <w:r w:rsidRPr="009F35EA">
        <w:rPr>
          <w:rFonts w:ascii="Times New Roman" w:hAnsi="Times New Roman" w:cs="Times New Roman"/>
          <w:szCs w:val="22"/>
        </w:rPr>
        <w:t>СНиП</w:t>
      </w:r>
      <w:proofErr w:type="spellEnd"/>
      <w:r w:rsidRPr="009F35EA">
        <w:rPr>
          <w:rFonts w:ascii="Times New Roman" w:hAnsi="Times New Roman" w:cs="Times New Roman"/>
          <w:szCs w:val="22"/>
        </w:rPr>
        <w:t xml:space="preserve"> II-11-77*".</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lastRenderedPageBreak/>
        <w:t>Таблица 2.2.2. Обоснование расчетных показателей максимально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допустимого уровня территориальной доступности объектов </w:t>
      </w:r>
      <w:proofErr w:type="gramStart"/>
      <w:r w:rsidRPr="009F35EA">
        <w:rPr>
          <w:rFonts w:ascii="Times New Roman" w:hAnsi="Times New Roman" w:cs="Times New Roman"/>
          <w:szCs w:val="22"/>
        </w:rPr>
        <w:t>в</w:t>
      </w:r>
      <w:proofErr w:type="gramEnd"/>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сфере предупреждения чрезвычайных ситуаций, стихийных</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бедствий, эпидемий и ликвидации их последствий</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75"/>
        <w:gridCol w:w="1361"/>
        <w:gridCol w:w="2268"/>
        <w:gridCol w:w="2324"/>
      </w:tblGrid>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3175"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объекта</w:t>
            </w:r>
          </w:p>
        </w:tc>
        <w:tc>
          <w:tcPr>
            <w:tcW w:w="136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c>
          <w:tcPr>
            <w:tcW w:w="23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Обоснование</w:t>
            </w:r>
          </w:p>
        </w:tc>
      </w:tr>
      <w:tr w:rsidR="009F35EA" w:rsidRPr="009F35EA">
        <w:tc>
          <w:tcPr>
            <w:tcW w:w="510"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3175" w:type="dxa"/>
            <w:vMerge w:val="restart"/>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Пожарные депо</w:t>
            </w:r>
          </w:p>
        </w:tc>
        <w:tc>
          <w:tcPr>
            <w:tcW w:w="1361"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10 (для городов)</w:t>
            </w:r>
          </w:p>
        </w:tc>
        <w:tc>
          <w:tcPr>
            <w:tcW w:w="232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Федеральный </w:t>
            </w:r>
            <w:hyperlink r:id="rId29" w:history="1">
              <w:r w:rsidRPr="009F35EA">
                <w:rPr>
                  <w:rFonts w:ascii="Times New Roman" w:hAnsi="Times New Roman" w:cs="Times New Roman"/>
                  <w:color w:val="0000FF"/>
                  <w:szCs w:val="22"/>
                </w:rPr>
                <w:t>закон</w:t>
              </w:r>
            </w:hyperlink>
            <w:r w:rsidRPr="009F35EA">
              <w:rPr>
                <w:rFonts w:ascii="Times New Roman" w:hAnsi="Times New Roman" w:cs="Times New Roman"/>
                <w:szCs w:val="22"/>
              </w:rPr>
              <w:t xml:space="preserve"> от 22 июля 2008 года N 123-ФЗ, нормы пожарной безопасности НПБ 101-95, Свод </w:t>
            </w:r>
            <w:hyperlink r:id="rId30" w:history="1">
              <w:r w:rsidRPr="009F35EA">
                <w:rPr>
                  <w:rFonts w:ascii="Times New Roman" w:hAnsi="Times New Roman" w:cs="Times New Roman"/>
                  <w:color w:val="0000FF"/>
                  <w:szCs w:val="22"/>
                </w:rPr>
                <w:t>правил</w:t>
              </w:r>
            </w:hyperlink>
            <w:r w:rsidRPr="009F35EA">
              <w:rPr>
                <w:rFonts w:ascii="Times New Roman" w:hAnsi="Times New Roman" w:cs="Times New Roman"/>
                <w:szCs w:val="22"/>
              </w:rPr>
              <w:t xml:space="preserve"> "СП 11.13130.2009. Места дислокации подразделений пожарной охраны. Порядок и методика определения"</w:t>
            </w:r>
          </w:p>
        </w:tc>
      </w:tr>
      <w:tr w:rsidR="009F35EA" w:rsidRPr="009F35EA">
        <w:tc>
          <w:tcPr>
            <w:tcW w:w="510" w:type="dxa"/>
            <w:vMerge/>
          </w:tcPr>
          <w:p w:rsidR="009F35EA" w:rsidRPr="009F35EA" w:rsidRDefault="009F35EA" w:rsidP="009F35EA">
            <w:pPr>
              <w:spacing w:after="0" w:line="240" w:lineRule="auto"/>
              <w:rPr>
                <w:rFonts w:ascii="Times New Roman" w:hAnsi="Times New Roman" w:cs="Times New Roman"/>
              </w:rPr>
            </w:pPr>
          </w:p>
        </w:tc>
        <w:tc>
          <w:tcPr>
            <w:tcW w:w="3175" w:type="dxa"/>
            <w:vMerge/>
          </w:tcPr>
          <w:p w:rsidR="009F35EA" w:rsidRPr="009F35EA" w:rsidRDefault="009F35EA" w:rsidP="009F35EA">
            <w:pPr>
              <w:spacing w:after="0" w:line="240" w:lineRule="auto"/>
              <w:rPr>
                <w:rFonts w:ascii="Times New Roman" w:hAnsi="Times New Roman" w:cs="Times New Roman"/>
              </w:rPr>
            </w:pP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20 (населенные пункты, кроме городов)</w:t>
            </w:r>
          </w:p>
        </w:tc>
        <w:tc>
          <w:tcPr>
            <w:tcW w:w="2324"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Защитные сооружения гражданской обороны, в том числе:</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убежища;</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противорадиационные укрытия</w:t>
            </w:r>
          </w:p>
        </w:tc>
        <w:tc>
          <w:tcPr>
            <w:tcW w:w="136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радиуса доступности (м)</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500</w:t>
            </w:r>
          </w:p>
        </w:tc>
        <w:tc>
          <w:tcPr>
            <w:tcW w:w="23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Свод правил "СП 88.13330.2014. Защитные сооружения гражданской обороны. Актуализированная редакция </w:t>
            </w:r>
            <w:proofErr w:type="spellStart"/>
            <w:r w:rsidRPr="009F35EA">
              <w:rPr>
                <w:rFonts w:ascii="Times New Roman" w:hAnsi="Times New Roman" w:cs="Times New Roman"/>
                <w:szCs w:val="22"/>
              </w:rPr>
              <w:t>СНиП</w:t>
            </w:r>
            <w:proofErr w:type="spellEnd"/>
            <w:r w:rsidRPr="009F35EA">
              <w:rPr>
                <w:rFonts w:ascii="Times New Roman" w:hAnsi="Times New Roman" w:cs="Times New Roman"/>
                <w:szCs w:val="22"/>
              </w:rPr>
              <w:t xml:space="preserve"> II-11-77*"</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Объекты государственной инспекции по маломерным судам</w:t>
            </w:r>
          </w:p>
        </w:tc>
        <w:tc>
          <w:tcPr>
            <w:tcW w:w="136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затраты времени на передвижения в большой, крупный и крупнейший город-центр не более 120 мин., в малые и средние города-</w:t>
            </w:r>
            <w:r w:rsidRPr="009F35EA">
              <w:rPr>
                <w:rFonts w:ascii="Times New Roman" w:hAnsi="Times New Roman" w:cs="Times New Roman"/>
                <w:szCs w:val="22"/>
              </w:rPr>
              <w:lastRenderedPageBreak/>
              <w:t xml:space="preserve">центры или </w:t>
            </w:r>
            <w:proofErr w:type="spellStart"/>
            <w:r w:rsidRPr="009F35EA">
              <w:rPr>
                <w:rFonts w:ascii="Times New Roman" w:hAnsi="Times New Roman" w:cs="Times New Roman"/>
                <w:szCs w:val="22"/>
              </w:rPr>
              <w:t>подцентры</w:t>
            </w:r>
            <w:proofErr w:type="spellEnd"/>
            <w:r w:rsidRPr="009F35EA">
              <w:rPr>
                <w:rFonts w:ascii="Times New Roman" w:hAnsi="Times New Roman" w:cs="Times New Roman"/>
                <w:szCs w:val="22"/>
              </w:rPr>
              <w:t xml:space="preserve"> систем расселения - не более 60 мин.</w:t>
            </w:r>
          </w:p>
        </w:tc>
        <w:tc>
          <w:tcPr>
            <w:tcW w:w="23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подпункт 10.2 пункта 10 СП 42.13330.2011</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Расчетные показатели уровня территориальной доступности объектов в сфере предупреждения чрезвычайных ситуаций, стихийных бедствий, эпидемий и ликвидации их последствий рекомендуется устанавливать в соответствии со Сводом правил "СП 88.13330.2014. Защитные сооружения гражданской обороны. Актуализированная редакция </w:t>
      </w:r>
      <w:proofErr w:type="spellStart"/>
      <w:r w:rsidRPr="009F35EA">
        <w:rPr>
          <w:rFonts w:ascii="Times New Roman" w:hAnsi="Times New Roman" w:cs="Times New Roman"/>
          <w:szCs w:val="22"/>
        </w:rPr>
        <w:t>СНиП</w:t>
      </w:r>
      <w:proofErr w:type="spellEnd"/>
      <w:r w:rsidRPr="009F35EA">
        <w:rPr>
          <w:rFonts w:ascii="Times New Roman" w:hAnsi="Times New Roman" w:cs="Times New Roman"/>
          <w:szCs w:val="22"/>
        </w:rPr>
        <w:t xml:space="preserve"> II-11-77*".</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2"/>
        <w:rPr>
          <w:rFonts w:ascii="Times New Roman" w:hAnsi="Times New Roman" w:cs="Times New Roman"/>
          <w:szCs w:val="22"/>
        </w:rPr>
      </w:pPr>
      <w:r w:rsidRPr="009F35EA">
        <w:rPr>
          <w:rFonts w:ascii="Times New Roman" w:hAnsi="Times New Roman" w:cs="Times New Roman"/>
          <w:szCs w:val="22"/>
        </w:rPr>
        <w:t>2.3. Обоснование расчетных показателей минимально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обеспеченности объектами образования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Таблица 2.3.1. Сравнение расчетных показателей</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учреждений образования</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819"/>
        <w:gridCol w:w="1134"/>
        <w:gridCol w:w="1134"/>
        <w:gridCol w:w="1134"/>
        <w:gridCol w:w="1134"/>
        <w:gridCol w:w="1134"/>
      </w:tblGrid>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4819"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II</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III</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IV</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V</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Профессиональные образовательные организации</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18,8</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33</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27</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33,2</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18,7</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Организации дополнительного образования (в том числе для обслуживания населения более чем одного муниципального образования)</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нет данных</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10 </w:t>
            </w:r>
            <w:hyperlink w:anchor="P1053" w:history="1">
              <w:r w:rsidRPr="009F35EA">
                <w:rPr>
                  <w:rFonts w:ascii="Times New Roman" w:hAnsi="Times New Roman" w:cs="Times New Roman"/>
                  <w:color w:val="0000FF"/>
                  <w:szCs w:val="22"/>
                </w:rPr>
                <w:t>&lt;*&gt;</w:t>
              </w:r>
            </w:hyperlink>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69,6</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Специальные (коррекционные) образовательные организации для обучающихся, воспитанников с ограниченными возможностями здоровья</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Организации для детей-сирот и детей, оставшихся без попечения родителей</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0,46</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0,46</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Общеобразовательные организации при исправительных учреждениях уголовно-исполнительной системы</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нет данных</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0,15</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6</w:t>
            </w: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Образовательные организации для детей, нуждающихся в психолого-педагогической и медико-социальной помощи</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1,67</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 объект на 100000 человек</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w:t>
            </w:r>
          </w:p>
        </w:tc>
        <w:tc>
          <w:tcPr>
            <w:tcW w:w="481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Организации дополнительного профессионального образования</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8,6</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 объект на 140000 человек</w:t>
            </w:r>
          </w:p>
        </w:tc>
      </w:tr>
    </w:tbl>
    <w:p w:rsidR="009F35EA" w:rsidRPr="009F35EA" w:rsidRDefault="009F35EA" w:rsidP="009F35EA">
      <w:pPr>
        <w:spacing w:after="0" w:line="240" w:lineRule="auto"/>
        <w:rPr>
          <w:rFonts w:ascii="Times New Roman" w:hAnsi="Times New Roman" w:cs="Times New Roman"/>
        </w:rPr>
        <w:sectPr w:rsidR="009F35EA" w:rsidRPr="009F35EA">
          <w:pgSz w:w="16838" w:h="11905" w:orient="landscape"/>
          <w:pgMar w:top="1701" w:right="1134" w:bottom="850" w:left="1134" w:header="0" w:footer="0" w:gutter="0"/>
          <w:cols w:space="720"/>
        </w:sect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w:t>
      </w:r>
    </w:p>
    <w:p w:rsidR="009F35EA" w:rsidRPr="009F35EA" w:rsidRDefault="009F35EA" w:rsidP="009F35EA">
      <w:pPr>
        <w:pStyle w:val="ConsPlusNormal"/>
        <w:ind w:firstLine="540"/>
        <w:jc w:val="both"/>
        <w:rPr>
          <w:rFonts w:ascii="Times New Roman" w:hAnsi="Times New Roman" w:cs="Times New Roman"/>
          <w:szCs w:val="22"/>
        </w:rPr>
      </w:pPr>
      <w:bookmarkStart w:id="8" w:name="P1053"/>
      <w:bookmarkEnd w:id="8"/>
      <w:r w:rsidRPr="009F35EA">
        <w:rPr>
          <w:rFonts w:ascii="Times New Roman" w:hAnsi="Times New Roman" w:cs="Times New Roman"/>
          <w:szCs w:val="22"/>
        </w:rPr>
        <w:t>&lt;*&gt; Указано количество объектов на территории Ярославской области по состоянию на 01.01.2014.</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I - фактическое количество учащихся по состоянию на 01.01.2014 на 1000 человек населения (при подготовке раздела использовались статистические данные департамента образования Ярославской области).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II - нормативное количество мест на 1000 человек в соответствии с региональными </w:t>
      </w:r>
      <w:hyperlink r:id="rId31" w:history="1">
        <w:r w:rsidRPr="009F35EA">
          <w:rPr>
            <w:rFonts w:ascii="Times New Roman" w:hAnsi="Times New Roman" w:cs="Times New Roman"/>
            <w:color w:val="0000FF"/>
            <w:szCs w:val="22"/>
          </w:rPr>
          <w:t>нормативами</w:t>
        </w:r>
      </w:hyperlink>
      <w:r w:rsidRPr="009F35EA">
        <w:rPr>
          <w:rFonts w:ascii="Times New Roman" w:hAnsi="Times New Roman" w:cs="Times New Roman"/>
          <w:szCs w:val="22"/>
        </w:rPr>
        <w:t xml:space="preserve"> градостроительного проектирования Ярославской области, утвержденными постановлением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proofErr w:type="gramStart"/>
      <w:r w:rsidRPr="009F35EA">
        <w:rPr>
          <w:rFonts w:ascii="Times New Roman" w:hAnsi="Times New Roman" w:cs="Times New Roman"/>
          <w:szCs w:val="22"/>
        </w:rPr>
        <w:t xml:space="preserve">III - нормативное количество мест на 1000 человек населения в соответствии с </w:t>
      </w:r>
      <w:hyperlink r:id="rId32" w:history="1">
        <w:r w:rsidRPr="009F35EA">
          <w:rPr>
            <w:rFonts w:ascii="Times New Roman" w:hAnsi="Times New Roman" w:cs="Times New Roman"/>
            <w:color w:val="0000FF"/>
            <w:szCs w:val="22"/>
          </w:rPr>
          <w:t>Методикой</w:t>
        </w:r>
      </w:hyperlink>
      <w:r w:rsidRPr="009F35EA">
        <w:rPr>
          <w:rFonts w:ascii="Times New Roman" w:hAnsi="Times New Roman" w:cs="Times New Roman"/>
          <w:szCs w:val="22"/>
        </w:rPr>
        <w:t xml:space="preserve">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 октября 1999 г. N 1683-р (далее - Методика), Социальными </w:t>
      </w:r>
      <w:hyperlink r:id="rId33" w:history="1">
        <w:r w:rsidRPr="009F35EA">
          <w:rPr>
            <w:rFonts w:ascii="Times New Roman" w:hAnsi="Times New Roman" w:cs="Times New Roman"/>
            <w:color w:val="0000FF"/>
            <w:szCs w:val="22"/>
          </w:rPr>
          <w:t>нормативами</w:t>
        </w:r>
      </w:hyperlink>
      <w:r w:rsidRPr="009F35EA">
        <w:rPr>
          <w:rFonts w:ascii="Times New Roman" w:hAnsi="Times New Roman" w:cs="Times New Roman"/>
          <w:szCs w:val="22"/>
        </w:rPr>
        <w:t xml:space="preserve"> и нормами, утвержденными распоряжением Правительства Российской Федерации от 3 июля 1996 г. N 1063-р, СП 42.13330.2011.</w:t>
      </w:r>
      <w:proofErr w:type="gramEnd"/>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IV - максимальный показатель количества учащихся на 1000 человек населения за 10 лет (при подготовке раздела использовались статистические данные департамента образования Ярославской области, материалы СТП ЯО).</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V - значения расчетных показателей учебных заведений, мест на 1000 человек, рекомендуемые для установления в региональных нормативах.</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Значения расчетных показателей, рекомендуемые для установления в региональных нормативах, получены в результате </w:t>
      </w:r>
      <w:proofErr w:type="gramStart"/>
      <w:r w:rsidRPr="009F35EA">
        <w:rPr>
          <w:rFonts w:ascii="Times New Roman" w:hAnsi="Times New Roman" w:cs="Times New Roman"/>
          <w:szCs w:val="22"/>
        </w:rPr>
        <w:t>сравнения показателей нормативной емкости объектов образования</w:t>
      </w:r>
      <w:proofErr w:type="gramEnd"/>
      <w:r w:rsidRPr="009F35EA">
        <w:rPr>
          <w:rFonts w:ascii="Times New Roman" w:hAnsi="Times New Roman" w:cs="Times New Roman"/>
          <w:szCs w:val="22"/>
        </w:rPr>
        <w:t xml:space="preserve"> и фактической численности учащихся в соответствующих учреждениях. </w:t>
      </w:r>
      <w:proofErr w:type="gramStart"/>
      <w:r w:rsidRPr="009F35EA">
        <w:rPr>
          <w:rFonts w:ascii="Times New Roman" w:hAnsi="Times New Roman" w:cs="Times New Roman"/>
          <w:szCs w:val="22"/>
        </w:rPr>
        <w:t>Исходя из необходимости сохранения и повышения уровня обеспеченности объектами образования по учреждениям среднего и начального профессионального образования рекомендуется</w:t>
      </w:r>
      <w:proofErr w:type="gramEnd"/>
      <w:r w:rsidRPr="009F35EA">
        <w:rPr>
          <w:rFonts w:ascii="Times New Roman" w:hAnsi="Times New Roman" w:cs="Times New Roman"/>
          <w:szCs w:val="22"/>
        </w:rPr>
        <w:t xml:space="preserve"> установить расчетные показатели обеспеченности местами в таких объектах в соответствии с </w:t>
      </w:r>
      <w:hyperlink r:id="rId34" w:history="1">
        <w:r w:rsidRPr="009F35EA">
          <w:rPr>
            <w:rFonts w:ascii="Times New Roman" w:hAnsi="Times New Roman" w:cs="Times New Roman"/>
            <w:color w:val="0000FF"/>
            <w:szCs w:val="22"/>
          </w:rPr>
          <w:t>Методикой</w:t>
        </w:r>
      </w:hyperlink>
      <w:r w:rsidRPr="009F35EA">
        <w:rPr>
          <w:rFonts w:ascii="Times New Roman" w:hAnsi="Times New Roman" w:cs="Times New Roman"/>
          <w:szCs w:val="22"/>
        </w:rPr>
        <w:t>.</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Расчетные показатели обеспеченности объектами высшего образования и дополнительного образования рекомендуется установить исходя из фактической численности студентов и учащихся соответствующих учреждений области. При расчете уровня обеспеченности объектами дополнительного образования были учтены соответствующие объекты муниципального уровня.</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Ввиду уменьшения количества детей-сирот и детей, оставшихся без попечения родителей, и осуществления мероприятий, нацеленных на устройство таких детей в приемные семьи, расчетные показатели обеспеченности местами в организациях для детей-сирот и детей, оставшихся без попечения родителей, рекомендуется установить на уровне фактического количества таких детей.</w:t>
      </w:r>
    </w:p>
    <w:p w:rsidR="009F35EA" w:rsidRPr="009F35EA" w:rsidRDefault="009F35EA" w:rsidP="009F35EA">
      <w:pPr>
        <w:pStyle w:val="ConsPlusNormal"/>
        <w:ind w:firstLine="540"/>
        <w:jc w:val="both"/>
        <w:rPr>
          <w:rFonts w:ascii="Times New Roman" w:hAnsi="Times New Roman" w:cs="Times New Roman"/>
          <w:szCs w:val="22"/>
        </w:rPr>
      </w:pPr>
      <w:proofErr w:type="gramStart"/>
      <w:r w:rsidRPr="009F35EA">
        <w:rPr>
          <w:rFonts w:ascii="Times New Roman" w:hAnsi="Times New Roman" w:cs="Times New Roman"/>
          <w:szCs w:val="22"/>
        </w:rPr>
        <w:t>Минимально допустимый уровень обеспеченности объектами дополнительного профессионального образования, организациями, осуществляющими образовательную деятельность по адаптированным основным общеобразовательным программам, для обучающихся, нуждающихся в длительном лечении, центрами психолого-педагогической, медицинской и социальной помощи, вечерними (сменными) общеобразовательными организациями, учебно-воспитательными учреждениями открытого и закрытого типа нормативными документами не установлен, расчетные показатели обеспеченности указанными объектами рекомендуется установить на уровне существующего количества учащихся.</w:t>
      </w:r>
      <w:proofErr w:type="gramEnd"/>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spacing w:after="0" w:line="240" w:lineRule="auto"/>
        <w:rPr>
          <w:rFonts w:ascii="Times New Roman" w:hAnsi="Times New Roman" w:cs="Times New Roman"/>
        </w:rPr>
        <w:sectPr w:rsidR="009F35EA" w:rsidRPr="009F35EA">
          <w:pgSz w:w="11905" w:h="16838"/>
          <w:pgMar w:top="1134" w:right="850" w:bottom="1134" w:left="1701" w:header="0" w:footer="0" w:gutter="0"/>
          <w:cols w:space="720"/>
        </w:sect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lastRenderedPageBreak/>
        <w:t>Таблица 2.3.2. Обоснование расчетных показателей максимально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территориальной доступности объектов</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образования</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31"/>
        <w:gridCol w:w="1361"/>
        <w:gridCol w:w="2268"/>
        <w:gridCol w:w="2268"/>
      </w:tblGrid>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323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36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Обоснование</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Профессиональные образовательные организации</w:t>
            </w:r>
          </w:p>
        </w:tc>
        <w:tc>
          <w:tcPr>
            <w:tcW w:w="1361"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2268"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затраты времени на передвижения в большой, крупный и крупнейший город-центр не более 120 мин., в малые и средние города-центры или </w:t>
            </w:r>
            <w:proofErr w:type="spellStart"/>
            <w:r w:rsidRPr="009F35EA">
              <w:rPr>
                <w:rFonts w:ascii="Times New Roman" w:hAnsi="Times New Roman" w:cs="Times New Roman"/>
                <w:szCs w:val="22"/>
              </w:rPr>
              <w:t>подцентры</w:t>
            </w:r>
            <w:proofErr w:type="spellEnd"/>
            <w:r w:rsidRPr="009F35EA">
              <w:rPr>
                <w:rFonts w:ascii="Times New Roman" w:hAnsi="Times New Roman" w:cs="Times New Roman"/>
                <w:szCs w:val="22"/>
              </w:rPr>
              <w:t xml:space="preserve"> систем расселения - не более 60 мин.</w:t>
            </w:r>
          </w:p>
        </w:tc>
        <w:tc>
          <w:tcPr>
            <w:tcW w:w="2268"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подпункт 10.2 пункта 10 СП 42.13330.2011</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Организации дополнительного образования (в том числе для обслуживания населения более чем одного муниципального образования)</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Специальные (коррекционные) образовательные организации для обучающихся, воспитанников с ограниченными возможностями здоровья</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Организации для детей-сирот и детей, оставшихся без попечения родителей</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Общеобразовательные организации при исправительных учреждениях уголовно-исполнительной системы</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Образовательные организации для детей, нуждающихся в психолого-педагогической и медико-социальной помощи</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7</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Организации дополнительного профессионального образования</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Расчетные показатели максимально допустимого уровня территориальной доступности объектов образования рекомендуется устанавливать в соответствии с требованиями подпункта 10.2 пункта 10 СП 42.13330.2011, для существующей сети объектов </w:t>
      </w:r>
      <w:proofErr w:type="gramStart"/>
      <w:r w:rsidRPr="009F35EA">
        <w:rPr>
          <w:rFonts w:ascii="Times New Roman" w:hAnsi="Times New Roman" w:cs="Times New Roman"/>
          <w:szCs w:val="22"/>
        </w:rPr>
        <w:t>образования</w:t>
      </w:r>
      <w:proofErr w:type="gramEnd"/>
      <w:r w:rsidRPr="009F35EA">
        <w:rPr>
          <w:rFonts w:ascii="Times New Roman" w:hAnsi="Times New Roman" w:cs="Times New Roman"/>
          <w:szCs w:val="22"/>
        </w:rPr>
        <w:t xml:space="preserve"> установленные требования максимально допустимого уровня территориальной доступности выполняются.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2"/>
        <w:rPr>
          <w:rFonts w:ascii="Times New Roman" w:hAnsi="Times New Roman" w:cs="Times New Roman"/>
          <w:szCs w:val="22"/>
        </w:rPr>
      </w:pPr>
      <w:r w:rsidRPr="009F35EA">
        <w:rPr>
          <w:rFonts w:ascii="Times New Roman" w:hAnsi="Times New Roman" w:cs="Times New Roman"/>
          <w:szCs w:val="22"/>
        </w:rPr>
        <w:t>2.4. Обоснование расчетных показателей минимально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обеспеченности объектами здравоохранения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Таблица 2.4.1. Сравнение расчетных показателей учреждений</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здравоохранения</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08"/>
        <w:gridCol w:w="794"/>
        <w:gridCol w:w="1134"/>
        <w:gridCol w:w="1191"/>
        <w:gridCol w:w="1134"/>
        <w:gridCol w:w="1134"/>
        <w:gridCol w:w="1134"/>
      </w:tblGrid>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260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79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II</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III</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IV</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V</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Областные больницы</w:t>
            </w:r>
          </w:p>
        </w:tc>
        <w:tc>
          <w:tcPr>
            <w:tcW w:w="79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койко-мест</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3,8</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по заданию на проектирование</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10 коек на 1 тыс. человек</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6,9</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3,7</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Перинатальный центр</w:t>
            </w:r>
          </w:p>
        </w:tc>
        <w:tc>
          <w:tcPr>
            <w:tcW w:w="79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0,16</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по заданию на проектирование</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0,23</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0,16</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Госпитали для ветеранов войн</w:t>
            </w:r>
          </w:p>
        </w:tc>
        <w:tc>
          <w:tcPr>
            <w:tcW w:w="79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0,16</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 место на 3000 тыс. человек с 60 лет</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28 мест на 1 тыс. человек (с 60 лет)</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0,16</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0,16</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xml:space="preserve">Психиатрические и </w:t>
            </w:r>
            <w:r w:rsidRPr="009F35EA">
              <w:rPr>
                <w:rFonts w:ascii="Times New Roman" w:hAnsi="Times New Roman" w:cs="Times New Roman"/>
                <w:szCs w:val="22"/>
              </w:rPr>
              <w:lastRenderedPageBreak/>
              <w:t>психоневрологические больницы</w:t>
            </w:r>
          </w:p>
        </w:tc>
        <w:tc>
          <w:tcPr>
            <w:tcW w:w="79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1,5</w:t>
            </w:r>
          </w:p>
        </w:tc>
        <w:tc>
          <w:tcPr>
            <w:tcW w:w="1191"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по </w:t>
            </w:r>
            <w:r w:rsidRPr="009F35EA">
              <w:rPr>
                <w:rFonts w:ascii="Times New Roman" w:hAnsi="Times New Roman" w:cs="Times New Roman"/>
                <w:szCs w:val="22"/>
              </w:rPr>
              <w:lastRenderedPageBreak/>
              <w:t>заданию на проектирование</w:t>
            </w:r>
          </w:p>
        </w:tc>
        <w:tc>
          <w:tcPr>
            <w:tcW w:w="113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 xml:space="preserve">по </w:t>
            </w:r>
            <w:r w:rsidRPr="009F35EA">
              <w:rPr>
                <w:rFonts w:ascii="Times New Roman" w:hAnsi="Times New Roman" w:cs="Times New Roman"/>
                <w:szCs w:val="22"/>
              </w:rPr>
              <w:lastRenderedPageBreak/>
              <w:t>заданию на проектирование</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1,9</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1,4</w:t>
            </w:r>
          </w:p>
        </w:tc>
      </w:tr>
      <w:tr w:rsidR="009F35EA" w:rsidRPr="009F35EA">
        <w:tc>
          <w:tcPr>
            <w:tcW w:w="510"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5</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Диспансеры (больницы)</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79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rPr>
                <w:rFonts w:ascii="Times New Roman" w:hAnsi="Times New Roman" w:cs="Times New Roman"/>
                <w:szCs w:val="22"/>
              </w:rPr>
            </w:pPr>
          </w:p>
        </w:tc>
        <w:tc>
          <w:tcPr>
            <w:tcW w:w="1191" w:type="dxa"/>
            <w:vMerge/>
          </w:tcPr>
          <w:p w:rsidR="009F35EA" w:rsidRPr="009F35EA" w:rsidRDefault="009F35EA" w:rsidP="009F35EA">
            <w:pPr>
              <w:spacing w:after="0" w:line="240" w:lineRule="auto"/>
              <w:rPr>
                <w:rFonts w:ascii="Times New Roman" w:hAnsi="Times New Roman" w:cs="Times New Roman"/>
              </w:rPr>
            </w:pPr>
          </w:p>
        </w:tc>
        <w:tc>
          <w:tcPr>
            <w:tcW w:w="113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rPr>
                <w:rFonts w:ascii="Times New Roman" w:hAnsi="Times New Roman" w:cs="Times New Roman"/>
                <w:szCs w:val="22"/>
              </w:rPr>
            </w:pPr>
          </w:p>
        </w:tc>
        <w:tc>
          <w:tcPr>
            <w:tcW w:w="1134" w:type="dxa"/>
          </w:tcPr>
          <w:p w:rsidR="009F35EA" w:rsidRPr="009F35EA" w:rsidRDefault="009F35EA" w:rsidP="009F35EA">
            <w:pPr>
              <w:pStyle w:val="ConsPlusNormal"/>
              <w:rPr>
                <w:rFonts w:ascii="Times New Roman" w:hAnsi="Times New Roman" w:cs="Times New Roman"/>
                <w:szCs w:val="22"/>
              </w:rPr>
            </w:pPr>
          </w:p>
        </w:tc>
      </w:tr>
      <w:tr w:rsidR="009F35EA" w:rsidRPr="009F35EA">
        <w:tc>
          <w:tcPr>
            <w:tcW w:w="510" w:type="dxa"/>
            <w:vMerge/>
          </w:tcPr>
          <w:p w:rsidR="009F35EA" w:rsidRPr="009F35EA" w:rsidRDefault="009F35EA" w:rsidP="009F35EA">
            <w:pPr>
              <w:spacing w:after="0" w:line="240" w:lineRule="auto"/>
              <w:rPr>
                <w:rFonts w:ascii="Times New Roman" w:hAnsi="Times New Roman" w:cs="Times New Roman"/>
              </w:rPr>
            </w:pP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кожно-венерологические</w:t>
            </w:r>
          </w:p>
        </w:tc>
        <w:tc>
          <w:tcPr>
            <w:tcW w:w="79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0,06</w:t>
            </w:r>
          </w:p>
        </w:tc>
        <w:tc>
          <w:tcPr>
            <w:tcW w:w="1191" w:type="dxa"/>
            <w:vMerge/>
          </w:tcPr>
          <w:p w:rsidR="009F35EA" w:rsidRPr="009F35EA" w:rsidRDefault="009F35EA" w:rsidP="009F35EA">
            <w:pPr>
              <w:spacing w:after="0" w:line="240" w:lineRule="auto"/>
              <w:rPr>
                <w:rFonts w:ascii="Times New Roman" w:hAnsi="Times New Roman" w:cs="Times New Roman"/>
              </w:rPr>
            </w:pPr>
          </w:p>
        </w:tc>
        <w:tc>
          <w:tcPr>
            <w:tcW w:w="113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0,06</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0,06</w:t>
            </w:r>
          </w:p>
        </w:tc>
      </w:tr>
      <w:tr w:rsidR="009F35EA" w:rsidRPr="009F35EA">
        <w:tc>
          <w:tcPr>
            <w:tcW w:w="510" w:type="dxa"/>
            <w:vMerge/>
          </w:tcPr>
          <w:p w:rsidR="009F35EA" w:rsidRPr="009F35EA" w:rsidRDefault="009F35EA" w:rsidP="009F35EA">
            <w:pPr>
              <w:spacing w:after="0" w:line="240" w:lineRule="auto"/>
              <w:rPr>
                <w:rFonts w:ascii="Times New Roman" w:hAnsi="Times New Roman" w:cs="Times New Roman"/>
              </w:rPr>
            </w:pP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наркологические</w:t>
            </w:r>
          </w:p>
        </w:tc>
        <w:tc>
          <w:tcPr>
            <w:tcW w:w="79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0,2</w:t>
            </w:r>
          </w:p>
        </w:tc>
        <w:tc>
          <w:tcPr>
            <w:tcW w:w="1191" w:type="dxa"/>
            <w:vMerge/>
          </w:tcPr>
          <w:p w:rsidR="009F35EA" w:rsidRPr="009F35EA" w:rsidRDefault="009F35EA" w:rsidP="009F35EA">
            <w:pPr>
              <w:spacing w:after="0" w:line="240" w:lineRule="auto"/>
              <w:rPr>
                <w:rFonts w:ascii="Times New Roman" w:hAnsi="Times New Roman" w:cs="Times New Roman"/>
              </w:rPr>
            </w:pPr>
          </w:p>
        </w:tc>
        <w:tc>
          <w:tcPr>
            <w:tcW w:w="113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0,2</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0,2</w:t>
            </w:r>
          </w:p>
        </w:tc>
      </w:tr>
      <w:tr w:rsidR="009F35EA" w:rsidRPr="009F35EA">
        <w:tc>
          <w:tcPr>
            <w:tcW w:w="510" w:type="dxa"/>
            <w:vMerge/>
          </w:tcPr>
          <w:p w:rsidR="009F35EA" w:rsidRPr="009F35EA" w:rsidRDefault="009F35EA" w:rsidP="009F35EA">
            <w:pPr>
              <w:spacing w:after="0" w:line="240" w:lineRule="auto"/>
              <w:rPr>
                <w:rFonts w:ascii="Times New Roman" w:hAnsi="Times New Roman" w:cs="Times New Roman"/>
              </w:rPr>
            </w:pP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онкологические</w:t>
            </w:r>
          </w:p>
        </w:tc>
        <w:tc>
          <w:tcPr>
            <w:tcW w:w="79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0,27</w:t>
            </w:r>
          </w:p>
        </w:tc>
        <w:tc>
          <w:tcPr>
            <w:tcW w:w="1191" w:type="dxa"/>
            <w:vMerge/>
          </w:tcPr>
          <w:p w:rsidR="009F35EA" w:rsidRPr="009F35EA" w:rsidRDefault="009F35EA" w:rsidP="009F35EA">
            <w:pPr>
              <w:spacing w:after="0" w:line="240" w:lineRule="auto"/>
              <w:rPr>
                <w:rFonts w:ascii="Times New Roman" w:hAnsi="Times New Roman" w:cs="Times New Roman"/>
              </w:rPr>
            </w:pPr>
          </w:p>
        </w:tc>
        <w:tc>
          <w:tcPr>
            <w:tcW w:w="113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0,27</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0,27</w:t>
            </w:r>
          </w:p>
        </w:tc>
      </w:tr>
      <w:tr w:rsidR="009F35EA" w:rsidRPr="009F35EA">
        <w:tc>
          <w:tcPr>
            <w:tcW w:w="510" w:type="dxa"/>
            <w:vMerge/>
          </w:tcPr>
          <w:p w:rsidR="009F35EA" w:rsidRPr="009F35EA" w:rsidRDefault="009F35EA" w:rsidP="009F35EA">
            <w:pPr>
              <w:spacing w:after="0" w:line="240" w:lineRule="auto"/>
              <w:rPr>
                <w:rFonts w:ascii="Times New Roman" w:hAnsi="Times New Roman" w:cs="Times New Roman"/>
              </w:rPr>
            </w:pP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противотуберкулезные</w:t>
            </w:r>
          </w:p>
        </w:tc>
        <w:tc>
          <w:tcPr>
            <w:tcW w:w="79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0,37</w:t>
            </w:r>
          </w:p>
        </w:tc>
        <w:tc>
          <w:tcPr>
            <w:tcW w:w="1191" w:type="dxa"/>
            <w:vMerge/>
          </w:tcPr>
          <w:p w:rsidR="009F35EA" w:rsidRPr="009F35EA" w:rsidRDefault="009F35EA" w:rsidP="009F35EA">
            <w:pPr>
              <w:spacing w:after="0" w:line="240" w:lineRule="auto"/>
              <w:rPr>
                <w:rFonts w:ascii="Times New Roman" w:hAnsi="Times New Roman" w:cs="Times New Roman"/>
              </w:rPr>
            </w:pPr>
          </w:p>
        </w:tc>
        <w:tc>
          <w:tcPr>
            <w:tcW w:w="113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0,39</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0,37</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Станции переливания крови</w:t>
            </w:r>
          </w:p>
        </w:tc>
        <w:tc>
          <w:tcPr>
            <w:tcW w:w="79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1191"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по заданию на проектирование</w:t>
            </w:r>
          </w:p>
        </w:tc>
        <w:tc>
          <w:tcPr>
            <w:tcW w:w="113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по заданию на проектирование</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Дома ребенка</w:t>
            </w:r>
          </w:p>
        </w:tc>
        <w:tc>
          <w:tcPr>
            <w:tcW w:w="79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койко-мест</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0,13</w:t>
            </w:r>
          </w:p>
        </w:tc>
        <w:tc>
          <w:tcPr>
            <w:tcW w:w="1191" w:type="dxa"/>
            <w:vMerge/>
          </w:tcPr>
          <w:p w:rsidR="009F35EA" w:rsidRPr="009F35EA" w:rsidRDefault="009F35EA" w:rsidP="009F35EA">
            <w:pPr>
              <w:spacing w:after="0" w:line="240" w:lineRule="auto"/>
              <w:rPr>
                <w:rFonts w:ascii="Times New Roman" w:hAnsi="Times New Roman" w:cs="Times New Roman"/>
              </w:rPr>
            </w:pPr>
          </w:p>
        </w:tc>
        <w:tc>
          <w:tcPr>
            <w:tcW w:w="113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0,13</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0,13</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Санатории детские, учреждения отдыха и оздоровления детей (кроме отдыха детей в каникулярное время)</w:t>
            </w:r>
          </w:p>
        </w:tc>
        <w:tc>
          <w:tcPr>
            <w:tcW w:w="79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0,31</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 место на 1000 человек</w:t>
            </w:r>
          </w:p>
        </w:tc>
        <w:tc>
          <w:tcPr>
            <w:tcW w:w="1134"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0,31</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0,31</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I - фактическое количество мест в учреждениях по состоянию на 01.01.2014 на 1000 человек населения (при подготовке раздела использовались данные СТП ЯО и департамента здравоохранения и фармации Ярославской области).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II - нормативное количество мест на 1000 человек населения в соответствии с региональными </w:t>
      </w:r>
      <w:hyperlink r:id="rId35" w:history="1">
        <w:r w:rsidRPr="009F35EA">
          <w:rPr>
            <w:rFonts w:ascii="Times New Roman" w:hAnsi="Times New Roman" w:cs="Times New Roman"/>
            <w:color w:val="0000FF"/>
            <w:szCs w:val="22"/>
          </w:rPr>
          <w:t>нормативами</w:t>
        </w:r>
      </w:hyperlink>
      <w:r w:rsidRPr="009F35EA">
        <w:rPr>
          <w:rFonts w:ascii="Times New Roman" w:hAnsi="Times New Roman" w:cs="Times New Roman"/>
          <w:szCs w:val="22"/>
        </w:rPr>
        <w:t xml:space="preserve"> градостроительного проектирования Ярославской области, утвержденными постановлением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III - нормативное количество мест на 1000 человек населения в соответствии с </w:t>
      </w:r>
      <w:hyperlink r:id="rId36" w:history="1">
        <w:r w:rsidRPr="009F35EA">
          <w:rPr>
            <w:rFonts w:ascii="Times New Roman" w:hAnsi="Times New Roman" w:cs="Times New Roman"/>
            <w:color w:val="0000FF"/>
            <w:szCs w:val="22"/>
          </w:rPr>
          <w:t>Методикой</w:t>
        </w:r>
      </w:hyperlink>
      <w:r w:rsidRPr="009F35EA">
        <w:rPr>
          <w:rFonts w:ascii="Times New Roman" w:hAnsi="Times New Roman" w:cs="Times New Roman"/>
          <w:szCs w:val="22"/>
        </w:rPr>
        <w:t xml:space="preserve">, Социальными </w:t>
      </w:r>
      <w:hyperlink r:id="rId37" w:history="1">
        <w:r w:rsidRPr="009F35EA">
          <w:rPr>
            <w:rFonts w:ascii="Times New Roman" w:hAnsi="Times New Roman" w:cs="Times New Roman"/>
            <w:color w:val="0000FF"/>
            <w:szCs w:val="22"/>
          </w:rPr>
          <w:t>нормативами</w:t>
        </w:r>
      </w:hyperlink>
      <w:r w:rsidRPr="009F35EA">
        <w:rPr>
          <w:rFonts w:ascii="Times New Roman" w:hAnsi="Times New Roman" w:cs="Times New Roman"/>
          <w:szCs w:val="22"/>
        </w:rPr>
        <w:t xml:space="preserve"> и нормами, утвержденными распоряжением Правительства Российской Федерации от 3 июля 1996 г. N 1063-р, СП 42.13330.2011.</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IV - планируемое количество мест на 1000 человек населения в учреждениях здравоохранения в соответствии с СТП ЯО.</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V - значения расчетных показателей мест на 1000 человек населения в учреждениях здравоохранения, рекомендуемые для установления в региональных нормативах.</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Существующее количество койко-мест в областных больницах меньше рекомендованного Социальными </w:t>
      </w:r>
      <w:hyperlink r:id="rId38" w:history="1">
        <w:r w:rsidRPr="009F35EA">
          <w:rPr>
            <w:rFonts w:ascii="Times New Roman" w:hAnsi="Times New Roman" w:cs="Times New Roman"/>
            <w:color w:val="0000FF"/>
            <w:szCs w:val="22"/>
          </w:rPr>
          <w:t>нормативами</w:t>
        </w:r>
      </w:hyperlink>
      <w:r w:rsidRPr="009F35EA">
        <w:rPr>
          <w:rFonts w:ascii="Times New Roman" w:hAnsi="Times New Roman" w:cs="Times New Roman"/>
          <w:szCs w:val="22"/>
        </w:rPr>
        <w:t xml:space="preserve"> и нормами, утвержденными распоряжением Правительства Российской Федерации от 3 июля 1996 г. N 1063-р. </w:t>
      </w:r>
      <w:proofErr w:type="gramStart"/>
      <w:r w:rsidRPr="009F35EA">
        <w:rPr>
          <w:rFonts w:ascii="Times New Roman" w:hAnsi="Times New Roman" w:cs="Times New Roman"/>
          <w:szCs w:val="22"/>
        </w:rPr>
        <w:t>Исходя из необходимости повышения уровня обеспеченности койко-местами в областных больницах рекомендуется</w:t>
      </w:r>
      <w:proofErr w:type="gramEnd"/>
      <w:r w:rsidRPr="009F35EA">
        <w:rPr>
          <w:rFonts w:ascii="Times New Roman" w:hAnsi="Times New Roman" w:cs="Times New Roman"/>
          <w:szCs w:val="22"/>
        </w:rPr>
        <w:t xml:space="preserve"> установить расчетные показатели обеспеченности койко-местами в данных объектах в соответствии с </w:t>
      </w:r>
      <w:r w:rsidRPr="009F35EA">
        <w:rPr>
          <w:rFonts w:ascii="Times New Roman" w:hAnsi="Times New Roman" w:cs="Times New Roman"/>
          <w:szCs w:val="22"/>
        </w:rPr>
        <w:lastRenderedPageBreak/>
        <w:t>указанным документом.</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Расчетные показатели минимально допустимого уровня обеспеченности населения иными объектами здравоохранения регионального значения Ярославской области устанавливаются исходя из фактической обеспеченности по состоянию на 01.01.2014 на 1000 человек населения, так как данные объекты не нормируются нормативно-правовыми актами Российской Федерации.</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Таблица 2.4.2. Обоснование расчетных показателей максимально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территориальной доступности объектов</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здравоохранения</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31"/>
        <w:gridCol w:w="1361"/>
        <w:gridCol w:w="2268"/>
        <w:gridCol w:w="2268"/>
      </w:tblGrid>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323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36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Обоснование</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323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136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Областные больницы</w:t>
            </w:r>
          </w:p>
        </w:tc>
        <w:tc>
          <w:tcPr>
            <w:tcW w:w="1361"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2268"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затраты времени на передвижения в большой, крупный и крупнейший город-центр не более 120 мин., в малые и средние города-центры или </w:t>
            </w:r>
            <w:proofErr w:type="spellStart"/>
            <w:r w:rsidRPr="009F35EA">
              <w:rPr>
                <w:rFonts w:ascii="Times New Roman" w:hAnsi="Times New Roman" w:cs="Times New Roman"/>
                <w:szCs w:val="22"/>
              </w:rPr>
              <w:t>подцентры</w:t>
            </w:r>
            <w:proofErr w:type="spellEnd"/>
            <w:r w:rsidRPr="009F35EA">
              <w:rPr>
                <w:rFonts w:ascii="Times New Roman" w:hAnsi="Times New Roman" w:cs="Times New Roman"/>
                <w:szCs w:val="22"/>
              </w:rPr>
              <w:t xml:space="preserve"> систем расселения - не более 60 мин.</w:t>
            </w:r>
          </w:p>
        </w:tc>
        <w:tc>
          <w:tcPr>
            <w:tcW w:w="2268"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подпункт 10.2 пункта 10 СП 42.13330.2011</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Перинатальный центр</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Госпитали для ветеранов войн</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Психиатрические и психоневрологические больницы</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Диспансеры (больницы):</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rPr>
                <w:rFonts w:ascii="Times New Roman" w:hAnsi="Times New Roman" w:cs="Times New Roman"/>
                <w:szCs w:val="22"/>
              </w:rPr>
            </w:pP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кожно-венерологические</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rPr>
                <w:rFonts w:ascii="Times New Roman" w:hAnsi="Times New Roman" w:cs="Times New Roman"/>
                <w:szCs w:val="22"/>
              </w:rPr>
            </w:pP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наркологические</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rPr>
                <w:rFonts w:ascii="Times New Roman" w:hAnsi="Times New Roman" w:cs="Times New Roman"/>
                <w:szCs w:val="22"/>
              </w:rPr>
            </w:pP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онкологические</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rPr>
                <w:rFonts w:ascii="Times New Roman" w:hAnsi="Times New Roman" w:cs="Times New Roman"/>
                <w:szCs w:val="22"/>
              </w:rPr>
            </w:pP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противотуберкулезные</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Станции переливания крови</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Дома ребенка</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8</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Санатории детские, учреждения отдыха и оздоровления детей (кроме отдыха детей в каникулярное время)</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Расчетные показатели максимально допустимого уровня территориальной доступности объектов образования рекомендуется устанавливать в соответствии с требованиями подпункта 10.2 пункта 10 СП 42.13330.2011, для существующей сети объектов здравоохранения требования максимально допустимого уровня территориальной доступности выполняются.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2"/>
        <w:rPr>
          <w:rFonts w:ascii="Times New Roman" w:hAnsi="Times New Roman" w:cs="Times New Roman"/>
          <w:szCs w:val="22"/>
        </w:rPr>
      </w:pPr>
      <w:r w:rsidRPr="009F35EA">
        <w:rPr>
          <w:rFonts w:ascii="Times New Roman" w:hAnsi="Times New Roman" w:cs="Times New Roman"/>
          <w:szCs w:val="22"/>
        </w:rPr>
        <w:t>2.5. Обоснование расчетных показателей минимально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обеспеченности объектами физической</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культуры и спорта</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Таблица 2.5.1. Сравнение расчетных показателей объектов</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физической культуры и спорта</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08"/>
        <w:gridCol w:w="794"/>
        <w:gridCol w:w="1134"/>
        <w:gridCol w:w="1191"/>
        <w:gridCol w:w="1134"/>
        <w:gridCol w:w="1134"/>
        <w:gridCol w:w="1134"/>
      </w:tblGrid>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260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79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II</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III</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IV</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V</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260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79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Стадионы на 1500 мест и более</w:t>
            </w:r>
          </w:p>
        </w:tc>
        <w:tc>
          <w:tcPr>
            <w:tcW w:w="79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16</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24</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24</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Сооружения для стрелковых видов спорта: тиры, стенды</w:t>
            </w:r>
          </w:p>
        </w:tc>
        <w:tc>
          <w:tcPr>
            <w:tcW w:w="79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40</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42</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42</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Лыжные базы</w:t>
            </w:r>
          </w:p>
        </w:tc>
        <w:tc>
          <w:tcPr>
            <w:tcW w:w="79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24</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25</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25</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Биатлонные комплексы</w:t>
            </w:r>
          </w:p>
        </w:tc>
        <w:tc>
          <w:tcPr>
            <w:tcW w:w="79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xml:space="preserve">Спортивные залы, манежи </w:t>
            </w:r>
            <w:r w:rsidRPr="009F35EA">
              <w:rPr>
                <w:rFonts w:ascii="Times New Roman" w:hAnsi="Times New Roman" w:cs="Times New Roman"/>
                <w:szCs w:val="22"/>
              </w:rPr>
              <w:lastRenderedPageBreak/>
              <w:t>(легкоатлетические и футбольные), спортивные сооружения с ледовым покрытием закрытые, физкультурно-оздоровительные сооружения, дворцы спорта и так далее</w:t>
            </w:r>
          </w:p>
        </w:tc>
        <w:tc>
          <w:tcPr>
            <w:tcW w:w="79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ед.</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593</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60 - 80 кв. м на 1 тыс. </w:t>
            </w:r>
            <w:r w:rsidRPr="009F35EA">
              <w:rPr>
                <w:rFonts w:ascii="Times New Roman" w:hAnsi="Times New Roman" w:cs="Times New Roman"/>
                <w:szCs w:val="22"/>
              </w:rPr>
              <w:lastRenderedPageBreak/>
              <w:t>населения</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 xml:space="preserve">350 кв. м на 1 тыс. </w:t>
            </w:r>
            <w:r w:rsidRPr="009F35EA">
              <w:rPr>
                <w:rFonts w:ascii="Times New Roman" w:hAnsi="Times New Roman" w:cs="Times New Roman"/>
                <w:szCs w:val="22"/>
              </w:rPr>
              <w:lastRenderedPageBreak/>
              <w:t>населения</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 xml:space="preserve">130 кв. м на 1 тыс. </w:t>
            </w:r>
            <w:r w:rsidRPr="009F35EA">
              <w:rPr>
                <w:rFonts w:ascii="Times New Roman" w:hAnsi="Times New Roman" w:cs="Times New Roman"/>
                <w:szCs w:val="22"/>
              </w:rPr>
              <w:lastRenderedPageBreak/>
              <w:t>населения</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1113</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6</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Конноспортивные базы, ипподромы</w:t>
            </w:r>
          </w:p>
        </w:tc>
        <w:tc>
          <w:tcPr>
            <w:tcW w:w="79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Велотреки, велодромы</w:t>
            </w:r>
          </w:p>
        </w:tc>
        <w:tc>
          <w:tcPr>
            <w:tcW w:w="79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Плавательные бассейны</w:t>
            </w:r>
          </w:p>
        </w:tc>
        <w:tc>
          <w:tcPr>
            <w:tcW w:w="79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26</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20 - 25 кв. м зеркала воды на 1 тыс. человек</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75 кв. м зеркала воды на 1 тыс. человек</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22 кв. м зеркала воды на 1 тыс. человек</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477</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9</w:t>
            </w:r>
          </w:p>
        </w:tc>
        <w:tc>
          <w:tcPr>
            <w:tcW w:w="260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Плоскостные спортивные сооружения: спортивные площадки, комплексные спортивные площадки, футбольные поля, трасса спортивная и тому подобное</w:t>
            </w:r>
          </w:p>
        </w:tc>
        <w:tc>
          <w:tcPr>
            <w:tcW w:w="79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1096</w:t>
            </w:r>
          </w:p>
        </w:tc>
        <w:tc>
          <w:tcPr>
            <w:tcW w:w="119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 тыс. кв. м на 1 тыс. человек</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1,95 тыс. кв. м на 1 тыс. человек</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 тыс. кв. м на 1 тыс. человек</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4592</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I - фактическое количество объектов, мест и тыс. кв. метров учреждений физической культуры, спорта по состоянию на 01.01.2014 (при подготовке раздела использовались данные СТП ЯО).</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II - нормативное количество объектов, мест и тыс. кв. метров учреждений физической культуры, спорта и отдыха в соответствии с региональными </w:t>
      </w:r>
      <w:hyperlink r:id="rId39" w:history="1">
        <w:r w:rsidRPr="009F35EA">
          <w:rPr>
            <w:rFonts w:ascii="Times New Roman" w:hAnsi="Times New Roman" w:cs="Times New Roman"/>
            <w:color w:val="0000FF"/>
            <w:szCs w:val="22"/>
          </w:rPr>
          <w:t>нормативами</w:t>
        </w:r>
      </w:hyperlink>
      <w:r w:rsidRPr="009F35EA">
        <w:rPr>
          <w:rFonts w:ascii="Times New Roman" w:hAnsi="Times New Roman" w:cs="Times New Roman"/>
          <w:szCs w:val="22"/>
        </w:rPr>
        <w:t xml:space="preserve"> градостроительного проектирования Ярославской области, утвержденными постановлением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III - нормативное количество объектов, мест и тыс. кв. метров учреждений физической культуры, спорта и отдыха в соответствии с </w:t>
      </w:r>
      <w:hyperlink r:id="rId40" w:history="1">
        <w:r w:rsidRPr="009F35EA">
          <w:rPr>
            <w:rFonts w:ascii="Times New Roman" w:hAnsi="Times New Roman" w:cs="Times New Roman"/>
            <w:color w:val="0000FF"/>
            <w:szCs w:val="22"/>
          </w:rPr>
          <w:t>Методикой</w:t>
        </w:r>
      </w:hyperlink>
      <w:r w:rsidRPr="009F35EA">
        <w:rPr>
          <w:rFonts w:ascii="Times New Roman" w:hAnsi="Times New Roman" w:cs="Times New Roman"/>
          <w:szCs w:val="22"/>
        </w:rPr>
        <w:t xml:space="preserve">, Социальными </w:t>
      </w:r>
      <w:hyperlink r:id="rId41" w:history="1">
        <w:r w:rsidRPr="009F35EA">
          <w:rPr>
            <w:rFonts w:ascii="Times New Roman" w:hAnsi="Times New Roman" w:cs="Times New Roman"/>
            <w:color w:val="0000FF"/>
            <w:szCs w:val="22"/>
          </w:rPr>
          <w:t>нормативами</w:t>
        </w:r>
      </w:hyperlink>
      <w:r w:rsidRPr="009F35EA">
        <w:rPr>
          <w:rFonts w:ascii="Times New Roman" w:hAnsi="Times New Roman" w:cs="Times New Roman"/>
          <w:szCs w:val="22"/>
        </w:rPr>
        <w:t xml:space="preserve"> и нормами, утвержденными распоряжением Правительства Российской Федерации от 3 июля 1996 г. N 1063-р, СП 42.13330.2011.</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IV - планируемое количество объектов, мест и тыс. кв. метров учреждений физической культуры, спорта и отдыха в соответствии с СТП ЯО.</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lastRenderedPageBreak/>
        <w:t>V - значения расчетных показателей количества объектов, мест и тыс. кв. метров учреждений физической культуры, спорта и отдыха, рекомендуемые для установления в региональных нормативах.</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Показатели минимально допустимого уровня обеспеченности населения стадионами, стрельбищами, тирами, лыжными базами, лодочными станциями, яхт-клубами, манежами, конноспортивными базами, ипподромами, велотреками и автодромами нормативно-правовыми актами не установлены, расчетные показатели минимально допустимого уровня обеспеченности населения указанными объектами рекомендуется устанавливать с учетом проектных предложений СТП ЯО на расчетный период до 2025 года.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Расчетные показатели обеспеченности населения спортивными залами и плавательными бассейнами рекомендуется устанавливать в соответствии с Методикой.</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Таблица 2.5.2. Обоснование расчетных показателей максимально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территориальной доступности объектов</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 сфере физической культуры, спорта и отдыха</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31"/>
        <w:gridCol w:w="1361"/>
        <w:gridCol w:w="2268"/>
        <w:gridCol w:w="2268"/>
      </w:tblGrid>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323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36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Обоснование</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323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136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Стадионы на 1500 мест и более</w:t>
            </w:r>
          </w:p>
        </w:tc>
        <w:tc>
          <w:tcPr>
            <w:tcW w:w="1361"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2268"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затраты времени на передвижения в большой, крупный и крупнейший город-центр не более 120 мин., в малые и средние города-центры или </w:t>
            </w:r>
            <w:proofErr w:type="spellStart"/>
            <w:r w:rsidRPr="009F35EA">
              <w:rPr>
                <w:rFonts w:ascii="Times New Roman" w:hAnsi="Times New Roman" w:cs="Times New Roman"/>
                <w:szCs w:val="22"/>
              </w:rPr>
              <w:t>подцентры</w:t>
            </w:r>
            <w:proofErr w:type="spellEnd"/>
            <w:r w:rsidRPr="009F35EA">
              <w:rPr>
                <w:rFonts w:ascii="Times New Roman" w:hAnsi="Times New Roman" w:cs="Times New Roman"/>
                <w:szCs w:val="22"/>
              </w:rPr>
              <w:t xml:space="preserve"> систем расселения - не более 60 мин.</w:t>
            </w:r>
          </w:p>
        </w:tc>
        <w:tc>
          <w:tcPr>
            <w:tcW w:w="2268"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подпункт 10.2 пункта 10 СП 42.13330.2011</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Сооружения для стрелковых видов спорта: тиры, стенды</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Лыжные базы</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Биатлонные комплексы</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Спортивные залы, манежи (легкоатлетические и футбольные), спортивные сооружения с ледовым покрытием закрытые, физкультурно-оздоровительные сооружения, дворцы спорта и так далее</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xml:space="preserve">Конноспортивные базы, </w:t>
            </w:r>
            <w:r w:rsidRPr="009F35EA">
              <w:rPr>
                <w:rFonts w:ascii="Times New Roman" w:hAnsi="Times New Roman" w:cs="Times New Roman"/>
                <w:szCs w:val="22"/>
              </w:rPr>
              <w:lastRenderedPageBreak/>
              <w:t>ипподромы</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7</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Велотреки, велодромы</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Плавательные бассейны</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9</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Плоскостные спортивные сооружения: спортивные площадки, комплексные спортивные площадки, футбольные поля, трасса спортивная и тому подобное</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Расчетные показатели максимально допустимого уровня территориальной доступности объектов физической культуры, спорта и отдыха рекомендуется устанавливать в соответствии с требованиями подпункта 10.2 пункта 10 СП 42.13330.2011, для существующей сети объектов физической культуры, спорта и отдыха требования максимально допустимого уровня территориальной доступности выполняются.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2"/>
        <w:rPr>
          <w:rFonts w:ascii="Times New Roman" w:hAnsi="Times New Roman" w:cs="Times New Roman"/>
          <w:szCs w:val="22"/>
        </w:rPr>
      </w:pPr>
      <w:r w:rsidRPr="009F35EA">
        <w:rPr>
          <w:rFonts w:ascii="Times New Roman" w:hAnsi="Times New Roman" w:cs="Times New Roman"/>
          <w:szCs w:val="22"/>
        </w:rPr>
        <w:t>2.6. Обоснование расчетных показателей минимально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обеспеченности объектами, необходимыми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для обеспечения деятельности органов власти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Ярославской области</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Таблица 2.6.1. Сравнение расчетных показателей объектов,</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необходимых для обеспечения деятельности органов власти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Ярославской области</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252"/>
        <w:gridCol w:w="1361"/>
        <w:gridCol w:w="1134"/>
        <w:gridCol w:w="1134"/>
        <w:gridCol w:w="1134"/>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4252"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36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II</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III</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4252"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136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425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Органы исполнительной власти Ярославской области</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1361"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объектов на область, объектов на 100000 </w:t>
            </w:r>
            <w:r w:rsidRPr="009F35EA">
              <w:rPr>
                <w:rFonts w:ascii="Times New Roman" w:hAnsi="Times New Roman" w:cs="Times New Roman"/>
                <w:szCs w:val="22"/>
              </w:rPr>
              <w:lastRenderedPageBreak/>
              <w:t>человек</w:t>
            </w:r>
          </w:p>
        </w:tc>
        <w:tc>
          <w:tcPr>
            <w:tcW w:w="1134" w:type="dxa"/>
          </w:tcPr>
          <w:p w:rsidR="009F35EA" w:rsidRPr="009F35EA" w:rsidRDefault="009F35EA" w:rsidP="009F35EA">
            <w:pPr>
              <w:pStyle w:val="ConsPlusNormal"/>
              <w:rPr>
                <w:rFonts w:ascii="Times New Roman" w:hAnsi="Times New Roman" w:cs="Times New Roman"/>
                <w:szCs w:val="22"/>
              </w:rPr>
            </w:pPr>
          </w:p>
        </w:tc>
        <w:tc>
          <w:tcPr>
            <w:tcW w:w="1134" w:type="dxa"/>
          </w:tcPr>
          <w:p w:rsidR="009F35EA" w:rsidRPr="009F35EA" w:rsidRDefault="009F35EA" w:rsidP="009F35EA">
            <w:pPr>
              <w:pStyle w:val="ConsPlusNormal"/>
              <w:rPr>
                <w:rFonts w:ascii="Times New Roman" w:hAnsi="Times New Roman" w:cs="Times New Roman"/>
                <w:szCs w:val="22"/>
              </w:rPr>
            </w:pPr>
          </w:p>
        </w:tc>
        <w:tc>
          <w:tcPr>
            <w:tcW w:w="1134" w:type="dxa"/>
          </w:tcPr>
          <w:p w:rsidR="009F35EA" w:rsidRPr="009F35EA" w:rsidRDefault="009F35EA" w:rsidP="009F35EA">
            <w:pPr>
              <w:pStyle w:val="ConsPlusNormal"/>
              <w:rPr>
                <w:rFonts w:ascii="Times New Roman" w:hAnsi="Times New Roman" w:cs="Times New Roman"/>
                <w:szCs w:val="22"/>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1.1</w:t>
            </w:r>
          </w:p>
        </w:tc>
        <w:tc>
          <w:tcPr>
            <w:tcW w:w="425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xml:space="preserve">Органы, осуществляющие оказание </w:t>
            </w:r>
            <w:r w:rsidRPr="009F35EA">
              <w:rPr>
                <w:rFonts w:ascii="Times New Roman" w:hAnsi="Times New Roman" w:cs="Times New Roman"/>
                <w:szCs w:val="22"/>
              </w:rPr>
              <w:lastRenderedPageBreak/>
              <w:t>государственных услуг населению</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(0,01)</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23</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1.2</w:t>
            </w:r>
          </w:p>
        </w:tc>
        <w:tc>
          <w:tcPr>
            <w:tcW w:w="425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Филиалы, представительства, подведомственные органам исполнительной власти Ярославской области организации, осуществляющие оказание государственных услуг населению</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rPr>
                <w:rFonts w:ascii="Times New Roman" w:hAnsi="Times New Roman" w:cs="Times New Roman"/>
                <w:szCs w:val="22"/>
              </w:rPr>
            </w:pPr>
          </w:p>
        </w:tc>
        <w:tc>
          <w:tcPr>
            <w:tcW w:w="1134" w:type="dxa"/>
          </w:tcPr>
          <w:p w:rsidR="009F35EA" w:rsidRPr="009F35EA" w:rsidRDefault="009F35EA" w:rsidP="009F35EA">
            <w:pPr>
              <w:pStyle w:val="ConsPlusNormal"/>
              <w:rPr>
                <w:rFonts w:ascii="Times New Roman" w:hAnsi="Times New Roman" w:cs="Times New Roman"/>
                <w:szCs w:val="22"/>
              </w:rPr>
            </w:pPr>
          </w:p>
        </w:tc>
        <w:tc>
          <w:tcPr>
            <w:tcW w:w="1134" w:type="dxa"/>
          </w:tcPr>
          <w:p w:rsidR="009F35EA" w:rsidRPr="009F35EA" w:rsidRDefault="009F35EA" w:rsidP="009F35EA">
            <w:pPr>
              <w:pStyle w:val="ConsPlusNormal"/>
              <w:rPr>
                <w:rFonts w:ascii="Times New Roman" w:hAnsi="Times New Roman" w:cs="Times New Roman"/>
                <w:szCs w:val="22"/>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1.2.1</w:t>
            </w:r>
          </w:p>
        </w:tc>
        <w:tc>
          <w:tcPr>
            <w:tcW w:w="425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МФЦ</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22</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1.2.2</w:t>
            </w:r>
          </w:p>
        </w:tc>
        <w:tc>
          <w:tcPr>
            <w:tcW w:w="425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Территориально обособленные структурные подразделения МФЦ</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1.2.3</w:t>
            </w:r>
          </w:p>
        </w:tc>
        <w:tc>
          <w:tcPr>
            <w:tcW w:w="425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Офисы организации, привлекаемой к выполнению функций МФЦ</w:t>
            </w:r>
          </w:p>
        </w:tc>
        <w:tc>
          <w:tcPr>
            <w:tcW w:w="1361" w:type="dxa"/>
          </w:tcPr>
          <w:p w:rsidR="009F35EA" w:rsidRPr="009F35EA" w:rsidRDefault="009F35EA" w:rsidP="009F35EA">
            <w:pPr>
              <w:pStyle w:val="ConsPlusNormal"/>
              <w:rPr>
                <w:rFonts w:ascii="Times New Roman" w:hAnsi="Times New Roman" w:cs="Times New Roman"/>
                <w:szCs w:val="22"/>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31</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1.3</w:t>
            </w:r>
          </w:p>
        </w:tc>
        <w:tc>
          <w:tcPr>
            <w:tcW w:w="425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Отделы записи актов гражданского состояния</w:t>
            </w:r>
          </w:p>
        </w:tc>
        <w:tc>
          <w:tcPr>
            <w:tcW w:w="1361"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 на область, объектов на 100000 человек</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26</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(2,0)</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26</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(2,0)</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425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Объекты, необходимые для функционирования государственных казенных учреждений Ярославской области центров занятости населения, в том числе здания для их размещения</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18</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(1,4)</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17</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(1,3)</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425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Объекты, необходимые для функционирования государственного архива Ярославской области, в том числе здания для его размещения</w:t>
            </w:r>
          </w:p>
        </w:tc>
        <w:tc>
          <w:tcPr>
            <w:tcW w:w="1361"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 на область</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425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Центры патриотического воспитания</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425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Государственные учреждения Ярославской области в сфере молодежной политики</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113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lastRenderedPageBreak/>
        <w:t>Минимально допустимый уровень обеспеченности населения объектами, необходимыми для осуществления деятельности органов государственной власти, нормативно не устанавливается. В настоящее время 13 организаций области осуществляют оказание государственных и муниципальных услуг населению, офисы упомянутых организаций располагаются в Ярославле, из них представительства, филиалы и подведомственные организации в центрах муниципальных районов имеют 4 учреждения. Оказание государственных и муниципальных услуг населению также осуществляется через МФЦ.</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I - фактическое количество объектов на территории Ярославской области (количество учреждений на 100000 человек населения).</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II - значения расчетных показателей количества учреждений на 100000 человек населения, осуществляющих оказание государственных услуг и имеющих представительства, филиалы или подведомственные организации в центрах муниципальных районов Ярославской области.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III - значения расчетных показателей количества объектов на область, необходимых для обеспечения деятельности органов власти Ярославской области (количество учреждений на 100000 человек), рекомендуемые для установления в региональных нормативах.</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Расчетные показатели минимально допустимого уровня обеспеченности населения объектами для обеспечения деятельности органов власти Ярославской области рекомендуется устанавливать на уровне фактического количества соответствующих объектов на 100000 человек. Филиалы, представительства, подведомственные организации, осуществляющие предоставление государственных услуг населению, размещаются также в центрах муниципальных районов области; в зависимости от вида объекта и численности населения необходимо размещать дополнительные объекты для обслуживания жителей отдельных районов городских округов области.</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Таблица 2.6.2. Обоснование расчетных показателей максимально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территориальной доступности объектов,</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необходимых для обеспечения деятельности органов власти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Ярославской области</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175"/>
        <w:gridCol w:w="1304"/>
        <w:gridCol w:w="2268"/>
        <w:gridCol w:w="2268"/>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3175"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30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Обоснование</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3175"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130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Органы исполнительной власти Ярославской области</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130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2268"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затраты времени на передвижения в региональный центр не более 120 мин., в районные центры - не более 60 мин.</w:t>
            </w:r>
          </w:p>
        </w:tc>
        <w:tc>
          <w:tcPr>
            <w:tcW w:w="2268"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подпункт 10.2 пункта 10 СП 42.13330.2011</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1.1</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Органы, осуществляющие оказание государственных услуг населению</w:t>
            </w:r>
          </w:p>
        </w:tc>
        <w:tc>
          <w:tcPr>
            <w:tcW w:w="1304"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 xml:space="preserve">Филиалы, представительства, подведомственные органам исполнительной власти </w:t>
            </w:r>
            <w:r w:rsidRPr="009F35EA">
              <w:rPr>
                <w:rFonts w:ascii="Times New Roman" w:hAnsi="Times New Roman" w:cs="Times New Roman"/>
                <w:szCs w:val="22"/>
              </w:rPr>
              <w:lastRenderedPageBreak/>
              <w:t>Ярославской области организации, осуществляющие оказание государственных услуг населению</w:t>
            </w:r>
          </w:p>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в том числе:</w:t>
            </w:r>
          </w:p>
        </w:tc>
        <w:tc>
          <w:tcPr>
            <w:tcW w:w="1304"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1.2.1</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МФЦ</w:t>
            </w:r>
          </w:p>
        </w:tc>
        <w:tc>
          <w:tcPr>
            <w:tcW w:w="1304"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1.2.2</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Территориально обособленные структурные подразделения МФЦ</w:t>
            </w:r>
          </w:p>
        </w:tc>
        <w:tc>
          <w:tcPr>
            <w:tcW w:w="1304"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1.2.3</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Офисы организации, привлекаемой к выполнению функций МФЦ</w:t>
            </w:r>
          </w:p>
        </w:tc>
        <w:tc>
          <w:tcPr>
            <w:tcW w:w="1304"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1.3</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Отделы записи актов гражданского состояния</w:t>
            </w:r>
          </w:p>
        </w:tc>
        <w:tc>
          <w:tcPr>
            <w:tcW w:w="1304"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Объекты, необходимые для функционирования государственных казенных учреждений Ярославской области центров занятости населения, в том числе здания для их размещения</w:t>
            </w:r>
          </w:p>
        </w:tc>
        <w:tc>
          <w:tcPr>
            <w:tcW w:w="130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2268"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затраты времени на передвижения в региональный центр не более 120 мин., в районные центры - не более 60 мин.</w:t>
            </w:r>
          </w:p>
        </w:tc>
        <w:tc>
          <w:tcPr>
            <w:tcW w:w="2268"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подпункт 10.2 пункта 10 СП 42.13330.2011</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Объекты, необходимые для функционирования государственного архива Ярославской области, в том числе здания для его размещения</w:t>
            </w:r>
          </w:p>
        </w:tc>
        <w:tc>
          <w:tcPr>
            <w:tcW w:w="1304"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Центры патриотического воспитания</w:t>
            </w:r>
          </w:p>
        </w:tc>
        <w:tc>
          <w:tcPr>
            <w:tcW w:w="1304"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5</w:t>
            </w:r>
          </w:p>
        </w:tc>
        <w:tc>
          <w:tcPr>
            <w:tcW w:w="3175"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Государственные учреждения Ярославской области в сфере молодежной политики</w:t>
            </w:r>
          </w:p>
        </w:tc>
        <w:tc>
          <w:tcPr>
            <w:tcW w:w="1304"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Показатели максимально допустимого уровня территориальной доступности объектов, необходимых для обеспечения деятельности органов государственной власти Ярославской области, рекомендуется устанавливать в соответствии с подпунктом 10.2 пункта 10 СП 42.13330.2011.</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Большинство объектов, необходимых для обеспечения деятельности органов государственной власти Ярославской области, сосредоточены в региональном центре - городе Ярославле. Ряд учреждений имеет филиалы, представительства и подведомственные организации в районных центрах. Таким образом, установленные требования максимально допустимого уровня территориальной доступности выполняются.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2"/>
        <w:rPr>
          <w:rFonts w:ascii="Times New Roman" w:hAnsi="Times New Roman" w:cs="Times New Roman"/>
          <w:szCs w:val="22"/>
        </w:rPr>
      </w:pPr>
      <w:r w:rsidRPr="009F35EA">
        <w:rPr>
          <w:rFonts w:ascii="Times New Roman" w:hAnsi="Times New Roman" w:cs="Times New Roman"/>
          <w:szCs w:val="22"/>
        </w:rPr>
        <w:t>2.7. Обоснование расчетных показателей минимально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обеспеченности объектами опеки 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попечительства, объектами социальной защиты населения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Таблица 2.7.1. Сравнение расчетных показателей объектов</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опеки и попечительства, объектов социальной защиты населения</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474"/>
        <w:gridCol w:w="1417"/>
      </w:tblGrid>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147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Учреждения социального обслуживания для взрослого населения</w:t>
            </w:r>
          </w:p>
        </w:tc>
        <w:tc>
          <w:tcPr>
            <w:tcW w:w="1474"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койко-мест на 1000 человек</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3,1</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Учреждения социального обслуживания для детей-инвалидов</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0,18</w:t>
            </w:r>
          </w:p>
        </w:tc>
      </w:tr>
      <w:tr w:rsidR="009F35EA" w:rsidRPr="009F35EA">
        <w:tc>
          <w:tcPr>
            <w:tcW w:w="62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6123"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Учреждения социального обслуживания несовершеннолетних</w:t>
            </w:r>
          </w:p>
        </w:tc>
        <w:tc>
          <w:tcPr>
            <w:tcW w:w="1474" w:type="dxa"/>
            <w:vMerge/>
          </w:tcPr>
          <w:p w:rsidR="009F35EA" w:rsidRPr="009F35EA" w:rsidRDefault="009F35EA" w:rsidP="009F35EA">
            <w:pPr>
              <w:spacing w:after="0" w:line="240" w:lineRule="auto"/>
              <w:rPr>
                <w:rFonts w:ascii="Times New Roman" w:hAnsi="Times New Roman" w:cs="Times New Roman"/>
              </w:rPr>
            </w:pP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0,21</w:t>
            </w:r>
          </w:p>
        </w:tc>
      </w:tr>
    </w:tbl>
    <w:p w:rsidR="009F35EA" w:rsidRPr="009F35EA" w:rsidRDefault="009F35EA" w:rsidP="009F35EA">
      <w:pPr>
        <w:spacing w:after="0" w:line="240" w:lineRule="auto"/>
        <w:rPr>
          <w:rFonts w:ascii="Times New Roman" w:hAnsi="Times New Roman" w:cs="Times New Roman"/>
        </w:rPr>
        <w:sectPr w:rsidR="009F35EA" w:rsidRPr="009F35EA">
          <w:pgSz w:w="16838" w:h="11905" w:orient="landscape"/>
          <w:pgMar w:top="1701" w:right="1134" w:bottom="850" w:left="1134" w:header="0" w:footer="0" w:gutter="0"/>
          <w:cols w:space="720"/>
        </w:sect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В таблице 2.7.1 отображены предложения департамента труда и социальной поддержки населения Ярославской области по корректировке нормативов по учреждениям социальной защиты населения в Ярославской области (в скобках даны показатели количества мест в пересчете на 1000 человек).</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Расчетные показатели минимально допустимого уровня обеспеченности населения объектами опеки и попечительства, объектами социальной защиты населения Ярославской области рекомендуется устанавливать в соответствии с предложениями департамента труда и социальной поддержки населения Ярославской области.</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Таблица 2.7.2. Обоснование расчетных показателей максимально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территориальной доступности объектов</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опеки и попечительства, объектов социальной защиты населения</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31"/>
        <w:gridCol w:w="1361"/>
        <w:gridCol w:w="2268"/>
        <w:gridCol w:w="2268"/>
      </w:tblGrid>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323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36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Обоснование</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Учреждения социального обслуживания для взрослого населения</w:t>
            </w:r>
          </w:p>
        </w:tc>
        <w:tc>
          <w:tcPr>
            <w:tcW w:w="1361"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2268"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затраты времени на передвижения в региональный центр не более 120 мин., в районные центры - не более 60 мин.</w:t>
            </w:r>
          </w:p>
        </w:tc>
        <w:tc>
          <w:tcPr>
            <w:tcW w:w="2268"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подпункт 10.2 пункта 10 СП 42.13330.2011</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Учреждения социального обслуживания для детей-инвалидов</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3231"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Учреждения социального обслуживания несовершеннолетних</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Показатели максимально допустимого уровня территориальной доступности объектов опеки, попечительства, объектов социальной защиты населения рекомендуется устанавливать в соответствии с подпунктом 10.2 пункта 10 СП 42.13330.2011. Для существующей сети объектов опеки и попечительства, объектов социальной защиты </w:t>
      </w:r>
      <w:proofErr w:type="gramStart"/>
      <w:r w:rsidRPr="009F35EA">
        <w:rPr>
          <w:rFonts w:ascii="Times New Roman" w:hAnsi="Times New Roman" w:cs="Times New Roman"/>
          <w:szCs w:val="22"/>
        </w:rPr>
        <w:t>населения</w:t>
      </w:r>
      <w:proofErr w:type="gramEnd"/>
      <w:r w:rsidRPr="009F35EA">
        <w:rPr>
          <w:rFonts w:ascii="Times New Roman" w:hAnsi="Times New Roman" w:cs="Times New Roman"/>
          <w:szCs w:val="22"/>
        </w:rPr>
        <w:t xml:space="preserve"> установленные требования максимально допустимого уровня территориальной доступности выполняются.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2"/>
        <w:rPr>
          <w:rFonts w:ascii="Times New Roman" w:hAnsi="Times New Roman" w:cs="Times New Roman"/>
          <w:szCs w:val="22"/>
        </w:rPr>
      </w:pPr>
      <w:r w:rsidRPr="009F35EA">
        <w:rPr>
          <w:rFonts w:ascii="Times New Roman" w:hAnsi="Times New Roman" w:cs="Times New Roman"/>
          <w:szCs w:val="22"/>
        </w:rPr>
        <w:t>2.8. Обоснование расчетных показателей минимально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обеспеченности населения объектами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туристско-гостиничной и туристско-рекреационной деятельности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регионального значения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Таблица 2.8.1. Сравнение расчетных показателей объектов</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туристско-гостиничной и туристско-рекреационной деятельности</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644"/>
        <w:gridCol w:w="1247"/>
      </w:tblGrid>
      <w:tr w:rsidR="009F35EA" w:rsidRPr="009F35EA">
        <w:tc>
          <w:tcPr>
            <w:tcW w:w="6746"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64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124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r>
      <w:tr w:rsidR="009F35EA" w:rsidRPr="009F35EA">
        <w:tc>
          <w:tcPr>
            <w:tcW w:w="6746"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Коллективные средства размещения (в том числе туристско-гостиничные, туристско-рекреационные комплексы, гостиницы, кемпинги, мотели, туристические базы и иные коллективные средства размещения круглогодичной эксплуатации)</w:t>
            </w:r>
          </w:p>
        </w:tc>
        <w:tc>
          <w:tcPr>
            <w:tcW w:w="164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мест на 1000 человек</w:t>
            </w:r>
          </w:p>
        </w:tc>
        <w:tc>
          <w:tcPr>
            <w:tcW w:w="124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В таблице 2.8.1 указано фактическое количество мест на 1000 жителей по состоянию на 2013 год.</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Расчетные показатели минимально допустимого уровня обеспеченности населения объектами туристско-гостиничной и туристско-рекреационной деятельности регионального значения Ярославской области устанавливаются на уровне существующей обеспеченности на 1000 человек населения данными объектами.</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Таблица 2.8.2. Обоснование расчетных показателей максимально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территориальной доступности объектов</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туристско-гостиничной и туристско-рекреационной деятельности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регионального значения</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1304"/>
        <w:gridCol w:w="2608"/>
        <w:gridCol w:w="1587"/>
      </w:tblGrid>
      <w:tr w:rsidR="009F35EA" w:rsidRPr="009F35EA">
        <w:tc>
          <w:tcPr>
            <w:tcW w:w="4139"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30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260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Обоснование</w:t>
            </w:r>
          </w:p>
        </w:tc>
      </w:tr>
      <w:tr w:rsidR="009F35EA" w:rsidRPr="009F35EA">
        <w:tc>
          <w:tcPr>
            <w:tcW w:w="4139"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Коллективные средства размещения (в том числе туристско-гостиничные, туристско-рекреационные комплексы, гостиницы, кемпинги, мотели, туристические базы и иные коллективные средства размещения круглогодичной эксплуатации)</w:t>
            </w:r>
          </w:p>
        </w:tc>
        <w:tc>
          <w:tcPr>
            <w:tcW w:w="1304"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260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затраты времени на передвижения в региональный центр не более 120 мин., затраты времени на передвижения в районный центр - не более 60 мин.</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подпункт 10.2 пункта 10 СП 42.13330.2011</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Показатели максимально допустимого уровня территориальной доступности объектов туристско-гостиничной и туристско-рекреационной деятельности регионального значения рекомендуется устанавливать в соответствии с подпунктом 10.2 пункта 10 СП 42.13330.2011. Для существующей </w:t>
      </w:r>
      <w:r w:rsidRPr="009F35EA">
        <w:rPr>
          <w:rFonts w:ascii="Times New Roman" w:hAnsi="Times New Roman" w:cs="Times New Roman"/>
          <w:szCs w:val="22"/>
        </w:rPr>
        <w:lastRenderedPageBreak/>
        <w:t xml:space="preserve">сети объектов туристско-гостиничной и туристско-рекреационной деятельности регионального </w:t>
      </w:r>
      <w:proofErr w:type="gramStart"/>
      <w:r w:rsidRPr="009F35EA">
        <w:rPr>
          <w:rFonts w:ascii="Times New Roman" w:hAnsi="Times New Roman" w:cs="Times New Roman"/>
          <w:szCs w:val="22"/>
        </w:rPr>
        <w:t>значения</w:t>
      </w:r>
      <w:proofErr w:type="gramEnd"/>
      <w:r w:rsidRPr="009F35EA">
        <w:rPr>
          <w:rFonts w:ascii="Times New Roman" w:hAnsi="Times New Roman" w:cs="Times New Roman"/>
          <w:szCs w:val="22"/>
        </w:rPr>
        <w:t xml:space="preserve"> установленные требования максимально допустимого уровня территориальной доступности выполняются.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2"/>
        <w:rPr>
          <w:rFonts w:ascii="Times New Roman" w:hAnsi="Times New Roman" w:cs="Times New Roman"/>
          <w:szCs w:val="22"/>
        </w:rPr>
      </w:pPr>
      <w:r w:rsidRPr="009F35EA">
        <w:rPr>
          <w:rFonts w:ascii="Times New Roman" w:hAnsi="Times New Roman" w:cs="Times New Roman"/>
          <w:szCs w:val="22"/>
        </w:rPr>
        <w:t>2.9. Обоснование расчетных показателей минимально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обеспеченности населения объектами</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культуры</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Таблица 2.9.1. Сравнение расчетных показателей</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 культуры</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458"/>
        <w:gridCol w:w="1417"/>
        <w:gridCol w:w="850"/>
        <w:gridCol w:w="850"/>
        <w:gridCol w:w="850"/>
        <w:gridCol w:w="850"/>
        <w:gridCol w:w="850"/>
      </w:tblGrid>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345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II</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III</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IV</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V</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345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Государственные библиотеки, находящиеся в ведении Ярославской области</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4 </w:t>
            </w:r>
            <w:hyperlink w:anchor="P1676" w:history="1">
              <w:r w:rsidRPr="009F35EA">
                <w:rPr>
                  <w:rFonts w:ascii="Times New Roman" w:hAnsi="Times New Roman" w:cs="Times New Roman"/>
                  <w:color w:val="0000FF"/>
                  <w:szCs w:val="22"/>
                </w:rPr>
                <w:t>&lt;*&gt;</w:t>
              </w:r>
            </w:hyperlink>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345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Государственные музеи, находящиеся в ведении Ярославской области</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7</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10</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10</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w:t>
            </w:r>
          </w:p>
        </w:tc>
        <w:tc>
          <w:tcPr>
            <w:tcW w:w="3458" w:type="dxa"/>
          </w:tcPr>
          <w:p w:rsidR="009F35EA" w:rsidRPr="009F35EA" w:rsidRDefault="009F35EA" w:rsidP="009F35EA">
            <w:pPr>
              <w:pStyle w:val="ConsPlusNormal"/>
              <w:rPr>
                <w:rFonts w:ascii="Times New Roman" w:hAnsi="Times New Roman" w:cs="Times New Roman"/>
                <w:szCs w:val="22"/>
              </w:rPr>
            </w:pPr>
            <w:proofErr w:type="spellStart"/>
            <w:r w:rsidRPr="009F35EA">
              <w:rPr>
                <w:rFonts w:ascii="Times New Roman" w:hAnsi="Times New Roman" w:cs="Times New Roman"/>
                <w:szCs w:val="22"/>
              </w:rPr>
              <w:t>Культурно-досуговые</w:t>
            </w:r>
            <w:proofErr w:type="spellEnd"/>
            <w:r w:rsidRPr="009F35EA">
              <w:rPr>
                <w:rFonts w:ascii="Times New Roman" w:hAnsi="Times New Roman" w:cs="Times New Roman"/>
                <w:szCs w:val="22"/>
              </w:rPr>
              <w:t xml:space="preserve"> учреждения, находящиеся в ведении Ярославской области</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мест на 1 тыс. человек</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80</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40</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40</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345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Государственные театры, находящиеся в ведении Ярославской области</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мест на 1 тыс. человек</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8 </w:t>
            </w:r>
            <w:hyperlink w:anchor="P1676" w:history="1">
              <w:r w:rsidRPr="009F35EA">
                <w:rPr>
                  <w:rFonts w:ascii="Times New Roman" w:hAnsi="Times New Roman" w:cs="Times New Roman"/>
                  <w:color w:val="0000FF"/>
                  <w:szCs w:val="22"/>
                </w:rPr>
                <w:t>&lt;*&gt;</w:t>
              </w:r>
            </w:hyperlink>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8</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345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Филармония и концертные залы, находящиеся в ведении Ярославской области</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мест на 1 тыс. человек</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0,46</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3,5</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3,5</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5 </w:t>
            </w:r>
            <w:hyperlink w:anchor="P1676" w:history="1">
              <w:r w:rsidRPr="009F35EA">
                <w:rPr>
                  <w:rFonts w:ascii="Times New Roman" w:hAnsi="Times New Roman" w:cs="Times New Roman"/>
                  <w:color w:val="0000FF"/>
                  <w:szCs w:val="22"/>
                </w:rPr>
                <w:t>&lt;*&gt;</w:t>
              </w:r>
            </w:hyperlink>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3458"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Образовательные учреждения в сфере культуры, находящиеся в ведении Ярославской области</w:t>
            </w:r>
          </w:p>
        </w:tc>
        <w:tc>
          <w:tcPr>
            <w:tcW w:w="141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объектов</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c>
          <w:tcPr>
            <w:tcW w:w="85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4</w:t>
            </w:r>
          </w:p>
        </w:tc>
      </w:tr>
    </w:tbl>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lastRenderedPageBreak/>
        <w:t>--------------------------------</w:t>
      </w:r>
    </w:p>
    <w:p w:rsidR="009F35EA" w:rsidRPr="009F35EA" w:rsidRDefault="009F35EA" w:rsidP="009F35EA">
      <w:pPr>
        <w:pStyle w:val="ConsPlusNormal"/>
        <w:ind w:firstLine="540"/>
        <w:jc w:val="both"/>
        <w:rPr>
          <w:rFonts w:ascii="Times New Roman" w:hAnsi="Times New Roman" w:cs="Times New Roman"/>
          <w:szCs w:val="22"/>
        </w:rPr>
      </w:pPr>
      <w:bookmarkStart w:id="9" w:name="P1676"/>
      <w:bookmarkEnd w:id="9"/>
      <w:r w:rsidRPr="009F35EA">
        <w:rPr>
          <w:rFonts w:ascii="Times New Roman" w:hAnsi="Times New Roman" w:cs="Times New Roman"/>
          <w:szCs w:val="22"/>
        </w:rPr>
        <w:t>&lt;*&gt; Расчетный показатель обеспеченности местами на 1 тыс. человек в соответствии с СТП ЯО.</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I - фактическое количество объектов и мест в учреждениях культуры по состоянию на 01.01.2014 (при подготовке раздела использовались данные СТП ЯО).</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II - нормативное количество объектов и мест в учреждениях культуры в соответствии с региональными </w:t>
      </w:r>
      <w:hyperlink r:id="rId42" w:history="1">
        <w:r w:rsidRPr="009F35EA">
          <w:rPr>
            <w:rFonts w:ascii="Times New Roman" w:hAnsi="Times New Roman" w:cs="Times New Roman"/>
            <w:color w:val="0000FF"/>
            <w:szCs w:val="22"/>
          </w:rPr>
          <w:t>нормативами</w:t>
        </w:r>
      </w:hyperlink>
      <w:r w:rsidRPr="009F35EA">
        <w:rPr>
          <w:rFonts w:ascii="Times New Roman" w:hAnsi="Times New Roman" w:cs="Times New Roman"/>
          <w:szCs w:val="22"/>
        </w:rPr>
        <w:t xml:space="preserve"> градостроительного проектирования Ярославской области, утвержденными постановлением Администрации области от 13.02.2008 N 33-а.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III - нормативное количество объектов и мест в учреждениях культуры в соответствии с </w:t>
      </w:r>
      <w:hyperlink r:id="rId43" w:history="1">
        <w:r w:rsidRPr="009F35EA">
          <w:rPr>
            <w:rFonts w:ascii="Times New Roman" w:hAnsi="Times New Roman" w:cs="Times New Roman"/>
            <w:color w:val="0000FF"/>
            <w:szCs w:val="22"/>
          </w:rPr>
          <w:t>Методикой</w:t>
        </w:r>
      </w:hyperlink>
      <w:r w:rsidRPr="009F35EA">
        <w:rPr>
          <w:rFonts w:ascii="Times New Roman" w:hAnsi="Times New Roman" w:cs="Times New Roman"/>
          <w:szCs w:val="22"/>
        </w:rPr>
        <w:t xml:space="preserve">, Социальными </w:t>
      </w:r>
      <w:hyperlink r:id="rId44" w:history="1">
        <w:r w:rsidRPr="009F35EA">
          <w:rPr>
            <w:rFonts w:ascii="Times New Roman" w:hAnsi="Times New Roman" w:cs="Times New Roman"/>
            <w:color w:val="0000FF"/>
            <w:szCs w:val="22"/>
          </w:rPr>
          <w:t>нормативами</w:t>
        </w:r>
      </w:hyperlink>
      <w:r w:rsidRPr="009F35EA">
        <w:rPr>
          <w:rFonts w:ascii="Times New Roman" w:hAnsi="Times New Roman" w:cs="Times New Roman"/>
          <w:szCs w:val="22"/>
        </w:rPr>
        <w:t xml:space="preserve"> и нормами, утвержденными распоряжением Правительства Российской Федерации от 3 июля 1996 г. N 1063-р, СП 42.13330.2011.</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IV - планируемое количество объектов и мест в учреждениях культуры в соответствии с СТП ЯО.</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V - значения расчетных показателей количества объектов и мест в учреждениях культуры, рекомендуемые для установления в региональных нормативах.</w:t>
      </w:r>
    </w:p>
    <w:p w:rsidR="009F35EA" w:rsidRPr="009F35EA" w:rsidRDefault="009F35EA" w:rsidP="009F35EA">
      <w:pPr>
        <w:pStyle w:val="ConsPlusNormal"/>
        <w:ind w:firstLine="540"/>
        <w:jc w:val="both"/>
        <w:rPr>
          <w:rFonts w:ascii="Times New Roman" w:hAnsi="Times New Roman" w:cs="Times New Roman"/>
          <w:szCs w:val="22"/>
        </w:rPr>
      </w:pPr>
      <w:proofErr w:type="gramStart"/>
      <w:r w:rsidRPr="009F35EA">
        <w:rPr>
          <w:rFonts w:ascii="Times New Roman" w:hAnsi="Times New Roman" w:cs="Times New Roman"/>
          <w:szCs w:val="22"/>
        </w:rPr>
        <w:t xml:space="preserve">Показатели планируемого уровня обеспеченности населения государственными библиотеками, музеями, театрами и концертными залами равны или превышают нормативный уровень обеспеченности населения данными объектами в соответствии с </w:t>
      </w:r>
      <w:hyperlink r:id="rId45" w:history="1">
        <w:r w:rsidRPr="009F35EA">
          <w:rPr>
            <w:rFonts w:ascii="Times New Roman" w:hAnsi="Times New Roman" w:cs="Times New Roman"/>
            <w:color w:val="0000FF"/>
            <w:szCs w:val="22"/>
          </w:rPr>
          <w:t>Методикой</w:t>
        </w:r>
      </w:hyperlink>
      <w:r w:rsidRPr="009F35EA">
        <w:rPr>
          <w:rFonts w:ascii="Times New Roman" w:hAnsi="Times New Roman" w:cs="Times New Roman"/>
          <w:szCs w:val="22"/>
        </w:rPr>
        <w:t>. Расчетные показатели минимально допустимого уровня обеспеченности населения указанными объектами культуры регионального значения Ярославской области рекомендуется устанавливать с учетом проектных предложений СТП ЯО на расчетный период до 2025 года.</w:t>
      </w:r>
      <w:proofErr w:type="gramEnd"/>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Информация о количестве мест в </w:t>
      </w:r>
      <w:proofErr w:type="spellStart"/>
      <w:r w:rsidRPr="009F35EA">
        <w:rPr>
          <w:rFonts w:ascii="Times New Roman" w:hAnsi="Times New Roman" w:cs="Times New Roman"/>
          <w:szCs w:val="22"/>
        </w:rPr>
        <w:t>культурно-досуговых</w:t>
      </w:r>
      <w:proofErr w:type="spellEnd"/>
      <w:r w:rsidRPr="009F35EA">
        <w:rPr>
          <w:rFonts w:ascii="Times New Roman" w:hAnsi="Times New Roman" w:cs="Times New Roman"/>
          <w:szCs w:val="22"/>
        </w:rPr>
        <w:t xml:space="preserve"> учреждениях отсутствует. Расчетные показатели минимально допустимого уровня обеспеченности населения </w:t>
      </w:r>
      <w:proofErr w:type="spellStart"/>
      <w:r w:rsidRPr="009F35EA">
        <w:rPr>
          <w:rFonts w:ascii="Times New Roman" w:hAnsi="Times New Roman" w:cs="Times New Roman"/>
          <w:szCs w:val="22"/>
        </w:rPr>
        <w:t>культурно-досуговыми</w:t>
      </w:r>
      <w:proofErr w:type="spellEnd"/>
      <w:r w:rsidRPr="009F35EA">
        <w:rPr>
          <w:rFonts w:ascii="Times New Roman" w:hAnsi="Times New Roman" w:cs="Times New Roman"/>
          <w:szCs w:val="22"/>
        </w:rPr>
        <w:t xml:space="preserve"> учреждениями рекомендуется устанавливать в соответствии с </w:t>
      </w:r>
      <w:hyperlink r:id="rId46" w:history="1">
        <w:r w:rsidRPr="009F35EA">
          <w:rPr>
            <w:rFonts w:ascii="Times New Roman" w:hAnsi="Times New Roman" w:cs="Times New Roman"/>
            <w:color w:val="0000FF"/>
            <w:szCs w:val="22"/>
          </w:rPr>
          <w:t>Методикой</w:t>
        </w:r>
      </w:hyperlink>
      <w:r w:rsidRPr="009F35EA">
        <w:rPr>
          <w:rFonts w:ascii="Times New Roman" w:hAnsi="Times New Roman" w:cs="Times New Roman"/>
          <w:szCs w:val="22"/>
        </w:rPr>
        <w:t>.</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Показатели уровня обеспеченности населения образовательными учреждениями в сфере культуры, находящимися в ведении Ярославской области, нормативными документами не установлены. Расчетные показатели минимально допустимого уровня обеспеченности населения указанными объектами рекомендуется устанавливать на уровне существующих показателей (количество объектов на область).</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3"/>
        <w:rPr>
          <w:rFonts w:ascii="Times New Roman" w:hAnsi="Times New Roman" w:cs="Times New Roman"/>
          <w:szCs w:val="22"/>
        </w:rPr>
      </w:pPr>
      <w:r w:rsidRPr="009F35EA">
        <w:rPr>
          <w:rFonts w:ascii="Times New Roman" w:hAnsi="Times New Roman" w:cs="Times New Roman"/>
          <w:szCs w:val="22"/>
        </w:rPr>
        <w:t>Таблица 2.9.2. Обоснование расчетных показателей максимально</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допустимого уровня территориальной доступности учреждений</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культуры</w:t>
      </w:r>
    </w:p>
    <w:p w:rsidR="009F35EA" w:rsidRPr="009F35EA" w:rsidRDefault="009F35EA" w:rsidP="009F35EA">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1361"/>
        <w:gridCol w:w="2268"/>
        <w:gridCol w:w="1587"/>
      </w:tblGrid>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N</w:t>
            </w:r>
          </w:p>
          <w:p w:rsidR="009F35EA" w:rsidRPr="009F35EA" w:rsidRDefault="009F35EA" w:rsidP="009F35EA">
            <w:pPr>
              <w:pStyle w:val="ConsPlusNormal"/>
              <w:jc w:val="center"/>
              <w:rPr>
                <w:rFonts w:ascii="Times New Roman" w:hAnsi="Times New Roman" w:cs="Times New Roman"/>
                <w:szCs w:val="22"/>
              </w:rPr>
            </w:pPr>
            <w:proofErr w:type="spellStart"/>
            <w:proofErr w:type="gramStart"/>
            <w:r w:rsidRPr="009F35EA">
              <w:rPr>
                <w:rFonts w:ascii="Times New Roman" w:hAnsi="Times New Roman" w:cs="Times New Roman"/>
                <w:szCs w:val="22"/>
              </w:rPr>
              <w:t>п</w:t>
            </w:r>
            <w:proofErr w:type="spellEnd"/>
            <w:proofErr w:type="gramEnd"/>
            <w:r w:rsidRPr="009F35EA">
              <w:rPr>
                <w:rFonts w:ascii="Times New Roman" w:hAnsi="Times New Roman" w:cs="Times New Roman"/>
                <w:szCs w:val="22"/>
              </w:rPr>
              <w:t>/</w:t>
            </w:r>
            <w:proofErr w:type="spellStart"/>
            <w:r w:rsidRPr="009F35EA">
              <w:rPr>
                <w:rFonts w:ascii="Times New Roman" w:hAnsi="Times New Roman" w:cs="Times New Roman"/>
                <w:szCs w:val="22"/>
              </w:rPr>
              <w:t>п</w:t>
            </w:r>
            <w:proofErr w:type="spellEnd"/>
          </w:p>
        </w:tc>
        <w:tc>
          <w:tcPr>
            <w:tcW w:w="3912"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Наименование объектов</w:t>
            </w:r>
          </w:p>
        </w:tc>
        <w:tc>
          <w:tcPr>
            <w:tcW w:w="1361"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Единица измерения</w:t>
            </w:r>
          </w:p>
        </w:tc>
        <w:tc>
          <w:tcPr>
            <w:tcW w:w="2268"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Величина</w:t>
            </w:r>
          </w:p>
        </w:tc>
        <w:tc>
          <w:tcPr>
            <w:tcW w:w="1587"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Обоснование</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1</w:t>
            </w:r>
          </w:p>
        </w:tc>
        <w:tc>
          <w:tcPr>
            <w:tcW w:w="391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Государственные библиотеки, находящиеся в ведении Ярославской области</w:t>
            </w:r>
          </w:p>
        </w:tc>
        <w:tc>
          <w:tcPr>
            <w:tcW w:w="1361"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мин.</w:t>
            </w:r>
          </w:p>
        </w:tc>
        <w:tc>
          <w:tcPr>
            <w:tcW w:w="2268"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 xml:space="preserve">затраты времени на передвижения в большой, крупный и крупнейший город-центр не более 120 </w:t>
            </w:r>
            <w:r w:rsidRPr="009F35EA">
              <w:rPr>
                <w:rFonts w:ascii="Times New Roman" w:hAnsi="Times New Roman" w:cs="Times New Roman"/>
                <w:szCs w:val="22"/>
              </w:rPr>
              <w:lastRenderedPageBreak/>
              <w:t xml:space="preserve">мин., в малые и средние города-центры или </w:t>
            </w:r>
            <w:proofErr w:type="spellStart"/>
            <w:r w:rsidRPr="009F35EA">
              <w:rPr>
                <w:rFonts w:ascii="Times New Roman" w:hAnsi="Times New Roman" w:cs="Times New Roman"/>
                <w:szCs w:val="22"/>
              </w:rPr>
              <w:t>подцентры</w:t>
            </w:r>
            <w:proofErr w:type="spellEnd"/>
            <w:r w:rsidRPr="009F35EA">
              <w:rPr>
                <w:rFonts w:ascii="Times New Roman" w:hAnsi="Times New Roman" w:cs="Times New Roman"/>
                <w:szCs w:val="22"/>
              </w:rPr>
              <w:t xml:space="preserve"> систем расселения - не более 60 мин.</w:t>
            </w:r>
          </w:p>
        </w:tc>
        <w:tc>
          <w:tcPr>
            <w:tcW w:w="1587" w:type="dxa"/>
            <w:vMerge w:val="restart"/>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подпункт 10.2 пункта 10 СП 42.13330.2011</w:t>
            </w: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2</w:t>
            </w:r>
          </w:p>
        </w:tc>
        <w:tc>
          <w:tcPr>
            <w:tcW w:w="391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Государственные музеи, находящиеся в ведении Ярославской области</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158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3</w:t>
            </w:r>
          </w:p>
        </w:tc>
        <w:tc>
          <w:tcPr>
            <w:tcW w:w="3912" w:type="dxa"/>
          </w:tcPr>
          <w:p w:rsidR="009F35EA" w:rsidRPr="009F35EA" w:rsidRDefault="009F35EA" w:rsidP="009F35EA">
            <w:pPr>
              <w:pStyle w:val="ConsPlusNormal"/>
              <w:rPr>
                <w:rFonts w:ascii="Times New Roman" w:hAnsi="Times New Roman" w:cs="Times New Roman"/>
                <w:szCs w:val="22"/>
              </w:rPr>
            </w:pPr>
            <w:proofErr w:type="spellStart"/>
            <w:r w:rsidRPr="009F35EA">
              <w:rPr>
                <w:rFonts w:ascii="Times New Roman" w:hAnsi="Times New Roman" w:cs="Times New Roman"/>
                <w:szCs w:val="22"/>
              </w:rPr>
              <w:t>Культурно-досуговые</w:t>
            </w:r>
            <w:proofErr w:type="spellEnd"/>
            <w:r w:rsidRPr="009F35EA">
              <w:rPr>
                <w:rFonts w:ascii="Times New Roman" w:hAnsi="Times New Roman" w:cs="Times New Roman"/>
                <w:szCs w:val="22"/>
              </w:rPr>
              <w:t xml:space="preserve"> учреждения, находящиеся в ведении Ярославской области</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158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lastRenderedPageBreak/>
              <w:t>4</w:t>
            </w:r>
          </w:p>
        </w:tc>
        <w:tc>
          <w:tcPr>
            <w:tcW w:w="391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Государственные театры, находящиеся в ведении Ярославской области</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158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5</w:t>
            </w:r>
          </w:p>
        </w:tc>
        <w:tc>
          <w:tcPr>
            <w:tcW w:w="391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Филармония и концертные залы, находящиеся в ведении Ярославской области</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1587" w:type="dxa"/>
            <w:vMerge/>
          </w:tcPr>
          <w:p w:rsidR="009F35EA" w:rsidRPr="009F35EA" w:rsidRDefault="009F35EA" w:rsidP="009F35EA">
            <w:pPr>
              <w:spacing w:after="0" w:line="240" w:lineRule="auto"/>
              <w:rPr>
                <w:rFonts w:ascii="Times New Roman" w:hAnsi="Times New Roman" w:cs="Times New Roman"/>
              </w:rPr>
            </w:pPr>
          </w:p>
        </w:tc>
      </w:tr>
      <w:tr w:rsidR="009F35EA" w:rsidRPr="009F35EA">
        <w:tc>
          <w:tcPr>
            <w:tcW w:w="510" w:type="dxa"/>
          </w:tcPr>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6</w:t>
            </w:r>
          </w:p>
        </w:tc>
        <w:tc>
          <w:tcPr>
            <w:tcW w:w="3912" w:type="dxa"/>
          </w:tcPr>
          <w:p w:rsidR="009F35EA" w:rsidRPr="009F35EA" w:rsidRDefault="009F35EA" w:rsidP="009F35EA">
            <w:pPr>
              <w:pStyle w:val="ConsPlusNormal"/>
              <w:rPr>
                <w:rFonts w:ascii="Times New Roman" w:hAnsi="Times New Roman" w:cs="Times New Roman"/>
                <w:szCs w:val="22"/>
              </w:rPr>
            </w:pPr>
            <w:r w:rsidRPr="009F35EA">
              <w:rPr>
                <w:rFonts w:ascii="Times New Roman" w:hAnsi="Times New Roman" w:cs="Times New Roman"/>
                <w:szCs w:val="22"/>
              </w:rPr>
              <w:t>Образовательные учреждения в сфере культуры, находящиеся в ведении Ярославской области</w:t>
            </w:r>
          </w:p>
        </w:tc>
        <w:tc>
          <w:tcPr>
            <w:tcW w:w="1361" w:type="dxa"/>
            <w:vMerge/>
          </w:tcPr>
          <w:p w:rsidR="009F35EA" w:rsidRPr="009F35EA" w:rsidRDefault="009F35EA" w:rsidP="009F35EA">
            <w:pPr>
              <w:spacing w:after="0" w:line="240" w:lineRule="auto"/>
              <w:rPr>
                <w:rFonts w:ascii="Times New Roman" w:hAnsi="Times New Roman" w:cs="Times New Roman"/>
              </w:rPr>
            </w:pPr>
          </w:p>
        </w:tc>
        <w:tc>
          <w:tcPr>
            <w:tcW w:w="2268" w:type="dxa"/>
            <w:vMerge/>
          </w:tcPr>
          <w:p w:rsidR="009F35EA" w:rsidRPr="009F35EA" w:rsidRDefault="009F35EA" w:rsidP="009F35EA">
            <w:pPr>
              <w:spacing w:after="0" w:line="240" w:lineRule="auto"/>
              <w:rPr>
                <w:rFonts w:ascii="Times New Roman" w:hAnsi="Times New Roman" w:cs="Times New Roman"/>
              </w:rPr>
            </w:pPr>
          </w:p>
        </w:tc>
        <w:tc>
          <w:tcPr>
            <w:tcW w:w="1587" w:type="dxa"/>
            <w:vMerge/>
          </w:tcPr>
          <w:p w:rsidR="009F35EA" w:rsidRPr="009F35EA" w:rsidRDefault="009F35EA" w:rsidP="009F35EA">
            <w:pPr>
              <w:spacing w:after="0" w:line="240" w:lineRule="auto"/>
              <w:rPr>
                <w:rFonts w:ascii="Times New Roman" w:hAnsi="Times New Roman" w:cs="Times New Roman"/>
              </w:rPr>
            </w:pPr>
          </w:p>
        </w:tc>
      </w:tr>
    </w:tbl>
    <w:p w:rsidR="009F35EA" w:rsidRPr="009F35EA" w:rsidRDefault="009F35EA" w:rsidP="009F35EA">
      <w:pPr>
        <w:spacing w:after="0" w:line="240" w:lineRule="auto"/>
        <w:rPr>
          <w:rFonts w:ascii="Times New Roman" w:hAnsi="Times New Roman" w:cs="Times New Roman"/>
        </w:rPr>
        <w:sectPr w:rsidR="009F35EA" w:rsidRPr="009F35EA">
          <w:pgSz w:w="16838" w:h="11905" w:orient="landscape"/>
          <w:pgMar w:top="1701" w:right="1134" w:bottom="850" w:left="1134" w:header="0" w:footer="0" w:gutter="0"/>
          <w:cols w:space="720"/>
        </w:sect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Показатели максимально допустимого уровня территориальной доступности объектов культуры рекомендуется устанавливать в соответствии с подпунктом 10.2 пункта 10 СП 42.13330.2011. Для существующей сети объектов культуры регионального </w:t>
      </w:r>
      <w:proofErr w:type="gramStart"/>
      <w:r w:rsidRPr="009F35EA">
        <w:rPr>
          <w:rFonts w:ascii="Times New Roman" w:hAnsi="Times New Roman" w:cs="Times New Roman"/>
          <w:szCs w:val="22"/>
        </w:rPr>
        <w:t>значения</w:t>
      </w:r>
      <w:proofErr w:type="gramEnd"/>
      <w:r w:rsidRPr="009F35EA">
        <w:rPr>
          <w:rFonts w:ascii="Times New Roman" w:hAnsi="Times New Roman" w:cs="Times New Roman"/>
          <w:szCs w:val="22"/>
        </w:rPr>
        <w:t xml:space="preserve"> установленные требования максимально допустимого уровня территориальной доступности выполняются.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outlineLvl w:val="1"/>
        <w:rPr>
          <w:rFonts w:ascii="Times New Roman" w:hAnsi="Times New Roman" w:cs="Times New Roman"/>
          <w:szCs w:val="22"/>
        </w:rPr>
      </w:pPr>
      <w:bookmarkStart w:id="10" w:name="P1715"/>
      <w:bookmarkEnd w:id="10"/>
      <w:r w:rsidRPr="009F35EA">
        <w:rPr>
          <w:rFonts w:ascii="Times New Roman" w:hAnsi="Times New Roman" w:cs="Times New Roman"/>
          <w:szCs w:val="22"/>
        </w:rPr>
        <w:t>Глава 3. ПРАВИЛА И ОБЛАСТЬ ПРИМЕНЕНИЯ РАСЧЕТНЫХ ПОКАЗАТЕЛЕЙ,</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СОДЕРЖАЩИХСЯ В ОСНОВНОЙ ЧАСТИ РЕГИОНАЛЬНЫХ НОРМАТИВОВ</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3.1. Применение региональных нормативов </w:t>
      </w:r>
      <w:proofErr w:type="gramStart"/>
      <w:r w:rsidRPr="009F35EA">
        <w:rPr>
          <w:rFonts w:ascii="Times New Roman" w:hAnsi="Times New Roman" w:cs="Times New Roman"/>
          <w:szCs w:val="22"/>
        </w:rPr>
        <w:t>направлено на создание благоприятных условий жизнедеятельности человека и предназначено</w:t>
      </w:r>
      <w:proofErr w:type="gramEnd"/>
      <w:r w:rsidRPr="009F35EA">
        <w:rPr>
          <w:rFonts w:ascii="Times New Roman" w:hAnsi="Times New Roman" w:cs="Times New Roman"/>
          <w:szCs w:val="22"/>
        </w:rPr>
        <w:t xml:space="preserve"> для регулирования градостроительной деятельности на основе требований законодательства Российской Федерации и Ярославской области.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3.2. Региональные нормативы обязательны для всех субъектов градостроительной деятельности, осуществляющих свою деятельность на территории Ярославской области, независимо от их организационно-правовой формы.</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3.3. Региональные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3.4. Региональные нормативы применяются </w:t>
      </w:r>
      <w:proofErr w:type="gramStart"/>
      <w:r w:rsidRPr="009F35EA">
        <w:rPr>
          <w:rFonts w:ascii="Times New Roman" w:hAnsi="Times New Roman" w:cs="Times New Roman"/>
          <w:szCs w:val="22"/>
        </w:rPr>
        <w:t>при</w:t>
      </w:r>
      <w:proofErr w:type="gramEnd"/>
      <w:r w:rsidRPr="009F35EA">
        <w:rPr>
          <w:rFonts w:ascii="Times New Roman" w:hAnsi="Times New Roman" w:cs="Times New Roman"/>
          <w:szCs w:val="22"/>
        </w:rPr>
        <w:t>:</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подготовке схемы территориального планирования Ярославской области, документации по планировке территории для размещения объектов капитального строительства регионального значения, утверждаемых Правительством области;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подготовке схем территориального планирования муниципальных районов, генеральных планов поселений, генеральных планов городских округов, утверждаемых органами местного самоуправления муниципальных образований Ярославской области;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подготовке правил землепользования и застройки муниципальных образований, расположенных на территории Ярославской области, а также при внесении изменений в указанные виды градостроительной документации;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регионального значения;</w:t>
      </w:r>
    </w:p>
    <w:p w:rsidR="009F35EA" w:rsidRPr="009F35EA" w:rsidRDefault="009F35EA" w:rsidP="009F35EA">
      <w:pPr>
        <w:pStyle w:val="ConsPlusNormal"/>
        <w:ind w:firstLine="540"/>
        <w:jc w:val="both"/>
        <w:rPr>
          <w:rFonts w:ascii="Times New Roman" w:hAnsi="Times New Roman" w:cs="Times New Roman"/>
          <w:szCs w:val="22"/>
        </w:rPr>
      </w:pPr>
      <w:proofErr w:type="gramStart"/>
      <w:r w:rsidRPr="009F35EA">
        <w:rPr>
          <w:rFonts w:ascii="Times New Roman" w:hAnsi="Times New Roman" w:cs="Times New Roman"/>
          <w:szCs w:val="22"/>
        </w:rPr>
        <w:t>- согласовании проектов внесения изменений в документы территориального планирования муниципальных образований с высшим исполнительным органом государственной власти Ярославской области и органами местного самоуправления муниципальных образований области в случаях, предусмотренных законодательством;</w:t>
      </w:r>
      <w:proofErr w:type="gramEnd"/>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 </w:t>
      </w:r>
      <w:proofErr w:type="gramStart"/>
      <w:r w:rsidRPr="009F35EA">
        <w:rPr>
          <w:rFonts w:ascii="Times New Roman" w:hAnsi="Times New Roman" w:cs="Times New Roman"/>
          <w:szCs w:val="22"/>
        </w:rPr>
        <w:t>утверждении</w:t>
      </w:r>
      <w:proofErr w:type="gramEnd"/>
      <w:r w:rsidRPr="009F35EA">
        <w:rPr>
          <w:rFonts w:ascii="Times New Roman" w:hAnsi="Times New Roman" w:cs="Times New Roman"/>
          <w:szCs w:val="22"/>
        </w:rPr>
        <w:t xml:space="preserve"> и реализации градостроительной документации, а также при внесении изменений в указанные виды градостроительной документации;</w:t>
      </w:r>
    </w:p>
    <w:p w:rsidR="009F35EA" w:rsidRPr="009F35EA" w:rsidRDefault="009F35EA" w:rsidP="009F35EA">
      <w:pPr>
        <w:pStyle w:val="ConsPlusNormal"/>
        <w:ind w:firstLine="540"/>
        <w:jc w:val="both"/>
        <w:rPr>
          <w:rFonts w:ascii="Times New Roman" w:hAnsi="Times New Roman" w:cs="Times New Roman"/>
          <w:szCs w:val="22"/>
        </w:rPr>
      </w:pPr>
      <w:proofErr w:type="gramStart"/>
      <w:r w:rsidRPr="009F35EA">
        <w:rPr>
          <w:rFonts w:ascii="Times New Roman" w:hAnsi="Times New Roman" w:cs="Times New Roman"/>
          <w:szCs w:val="22"/>
        </w:rPr>
        <w:t>- принятии органом местного самоуправления муниципального образования области по инициативе органа государственной власти Ярославской области, органа местного самоуправления муниципального образования области, физических или юридических лиц решения о развитии застроенной территории;</w:t>
      </w:r>
      <w:proofErr w:type="gramEnd"/>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подготовке комплексных государственных и муниципальных программ;</w:t>
      </w:r>
    </w:p>
    <w:p w:rsidR="009F35EA" w:rsidRPr="009F35EA" w:rsidRDefault="009F35EA" w:rsidP="009F35EA">
      <w:pPr>
        <w:pStyle w:val="ConsPlusNormal"/>
        <w:ind w:firstLine="540"/>
        <w:jc w:val="both"/>
        <w:rPr>
          <w:rFonts w:ascii="Times New Roman" w:hAnsi="Times New Roman" w:cs="Times New Roman"/>
          <w:szCs w:val="22"/>
        </w:rPr>
      </w:pPr>
      <w:proofErr w:type="gramStart"/>
      <w:r w:rsidRPr="009F35EA">
        <w:rPr>
          <w:rFonts w:ascii="Times New Roman" w:hAnsi="Times New Roman" w:cs="Times New Roman"/>
          <w:szCs w:val="22"/>
        </w:rPr>
        <w:t>- принятии решений уполномоченными органами государственной власти Ярославской области, органами местного самоуправления муниципальных образований области, должностными лицами, физическими и юридическими лицами, судебными органами как основания для разрешения споров по вопросам градостроительной деятельности.</w:t>
      </w:r>
      <w:proofErr w:type="gramEnd"/>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3.5. Действия по принятию решений на соответствие региональным нормативам включают в себя:</w:t>
      </w:r>
    </w:p>
    <w:p w:rsidR="009F35EA" w:rsidRPr="009F35EA" w:rsidRDefault="009F35EA" w:rsidP="009F35EA">
      <w:pPr>
        <w:pStyle w:val="ConsPlusNormal"/>
        <w:ind w:firstLine="540"/>
        <w:jc w:val="both"/>
        <w:rPr>
          <w:rFonts w:ascii="Times New Roman" w:hAnsi="Times New Roman" w:cs="Times New Roman"/>
          <w:szCs w:val="22"/>
        </w:rPr>
      </w:pPr>
      <w:proofErr w:type="gramStart"/>
      <w:r w:rsidRPr="009F35EA">
        <w:rPr>
          <w:rFonts w:ascii="Times New Roman" w:hAnsi="Times New Roman" w:cs="Times New Roman"/>
          <w:szCs w:val="22"/>
        </w:rPr>
        <w:t>- оценку параметров планируемых, реконструируемых объектов регионального значения на предмет соответствия установленным показателям нормативной обеспеченности населения данными видами объектов;</w:t>
      </w:r>
      <w:proofErr w:type="gramEnd"/>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оценку с использованием картографических материалов, расстояния от планируемых, реконструируемых объектов регионального значения до наиболее удаленных жилых домов (данное расстояние не должно превышать установленного в данных нормативах показателя максимально допустимого уровня территориальной доступности таких объектов).</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lastRenderedPageBreak/>
        <w:t xml:space="preserve">3.6. Применение региональных нормативов при подготовке градостроительной документации не </w:t>
      </w:r>
      <w:proofErr w:type="gramStart"/>
      <w:r w:rsidRPr="009F35EA">
        <w:rPr>
          <w:rFonts w:ascii="Times New Roman" w:hAnsi="Times New Roman" w:cs="Times New Roman"/>
          <w:szCs w:val="22"/>
        </w:rPr>
        <w:t>заменяет и не исключает</w:t>
      </w:r>
      <w:proofErr w:type="gramEnd"/>
      <w:r w:rsidRPr="009F35EA">
        <w:rPr>
          <w:rFonts w:ascii="Times New Roman" w:hAnsi="Times New Roman" w:cs="Times New Roman"/>
          <w:szCs w:val="22"/>
        </w:rPr>
        <w:t xml:space="preserve">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3.7. В случае нормирования радиуса обслуживания необходимо удостовериться, что в зону действия, обусловленную максимальным радиусом обслуживания, планируемого, реконструируемого объекта регионального значения попадают все объекты, на которые направлена его деятельность. В графе "Величина", где приведены показатели в минутах "120/60", указаны затраты времени на передвижения в большой, крупный и крупнейший город-центр не более 120 мин., в малые и средние города-центры или </w:t>
      </w:r>
      <w:proofErr w:type="spellStart"/>
      <w:r w:rsidRPr="009F35EA">
        <w:rPr>
          <w:rFonts w:ascii="Times New Roman" w:hAnsi="Times New Roman" w:cs="Times New Roman"/>
          <w:szCs w:val="22"/>
        </w:rPr>
        <w:t>подцентры</w:t>
      </w:r>
      <w:proofErr w:type="spellEnd"/>
      <w:r w:rsidRPr="009F35EA">
        <w:rPr>
          <w:rFonts w:ascii="Times New Roman" w:hAnsi="Times New Roman" w:cs="Times New Roman"/>
          <w:szCs w:val="22"/>
        </w:rPr>
        <w:t xml:space="preserve"> систем расселения - не более 60 мин.</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3.8. Предельные значения для городских округов и поселений коэффициентов застройки и коэффициентов плотности застройки территории кварталов (микрорайонов) жилых, общественно-деловых и смешанных зон приведены в </w:t>
      </w:r>
      <w:hyperlink w:anchor="P654" w:history="1">
        <w:r w:rsidRPr="009F35EA">
          <w:rPr>
            <w:rFonts w:ascii="Times New Roman" w:hAnsi="Times New Roman" w:cs="Times New Roman"/>
            <w:color w:val="0000FF"/>
            <w:szCs w:val="22"/>
          </w:rPr>
          <w:t>таблице 1.6.9</w:t>
        </w:r>
      </w:hyperlink>
      <w:r w:rsidRPr="009F35EA">
        <w:rPr>
          <w:rFonts w:ascii="Times New Roman" w:hAnsi="Times New Roman" w:cs="Times New Roman"/>
          <w:szCs w:val="22"/>
        </w:rPr>
        <w:t>.</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Плотность застройки жилых, общественно-деловых и смешанных зон следует принимать в соответствии с региональными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Для расчетов плотности застройки, а также показателей озеленения границами кварталов являются красные линии.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3.9. Расчетные показатели минимально допустимого уровня обеспеченности населения озелененными территориями приведены в </w:t>
      </w:r>
      <w:hyperlink w:anchor="P740" w:history="1">
        <w:r w:rsidRPr="009F35EA">
          <w:rPr>
            <w:rFonts w:ascii="Times New Roman" w:hAnsi="Times New Roman" w:cs="Times New Roman"/>
            <w:color w:val="0000FF"/>
            <w:szCs w:val="22"/>
          </w:rPr>
          <w:t>таблице 1.6.11</w:t>
        </w:r>
      </w:hyperlink>
      <w:r w:rsidRPr="009F35EA">
        <w:rPr>
          <w:rFonts w:ascii="Times New Roman" w:hAnsi="Times New Roman" w:cs="Times New Roman"/>
          <w:szCs w:val="22"/>
        </w:rPr>
        <w:t>.</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Минимальные расчетные показатели обеспечения благоприятных условий жизнедеятельности человека в сфере благоустройства и озеленения направлены </w:t>
      </w:r>
      <w:proofErr w:type="gramStart"/>
      <w:r w:rsidRPr="009F35EA">
        <w:rPr>
          <w:rFonts w:ascii="Times New Roman" w:hAnsi="Times New Roman" w:cs="Times New Roman"/>
          <w:szCs w:val="22"/>
        </w:rPr>
        <w:t>на</w:t>
      </w:r>
      <w:proofErr w:type="gramEnd"/>
      <w:r w:rsidRPr="009F35EA">
        <w:rPr>
          <w:rFonts w:ascii="Times New Roman" w:hAnsi="Times New Roman" w:cs="Times New Roman"/>
          <w:szCs w:val="22"/>
        </w:rPr>
        <w:t>:</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устойчивое развитие территорий городских округов и поселений, структур населенных пунктов с учетом особенностей систем расселения, формирования агломераций на территории Ярославской области;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рациональное использование природных ресурсов, сохранение природно-рекреационного потенциала городских округов, поселений и природных (зеленых) зон, улучшение экологического состояния территорий, а также сохранение и возрождение объектов культурного наследия и особо охраняемых природных комплексов;</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обеспечение определенных законодательством Российской Федерации и Ярославской области социально гарантированных условий жизнедеятельности населения, создание условий для привлечения инвестиций в ходе реализации документов территориального планирования.</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Озеленение деревьями в грунте должно составлять не менее 50 процентов от нормы озеленения на территории городских округов и поселений, в том числе:</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для центральной реконструируемой части - не менее 75 процентов;</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для периферийных районов - 125 процентов.</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Минимальная норма </w:t>
      </w:r>
      <w:proofErr w:type="spellStart"/>
      <w:r w:rsidRPr="009F35EA">
        <w:rPr>
          <w:rFonts w:ascii="Times New Roman" w:hAnsi="Times New Roman" w:cs="Times New Roman"/>
          <w:szCs w:val="22"/>
        </w:rPr>
        <w:t>озелененности</w:t>
      </w:r>
      <w:proofErr w:type="spellEnd"/>
      <w:r w:rsidRPr="009F35EA">
        <w:rPr>
          <w:rFonts w:ascii="Times New Roman" w:hAnsi="Times New Roman" w:cs="Times New Roman"/>
          <w:szCs w:val="22"/>
        </w:rPr>
        <w:t xml:space="preserve">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жилого микрорайона рассчитываются в зависимости от численности населения, установленной в процессе проектирования, и не суммируются по элементам территории.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В случае примыкания жилого микрорайона (квартала) к общегородским озелененным территориям общего пользования возможно сокращение нормы обеспеченности населения озелененными территориями данного микрорайона (квартала) на 25 процентов.</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3.10.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бытовых и санитарных разрывов (для усадебной застройки - с учетом зооветеринарных требований).</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Бытовые разрывы между жилыми многоквартирными зданиями высотой до 10 метров должны быть не менее 15 метров, выше - не менее 20 метров; между длинными сторонами секционных жилых зданий и торцами таких же зданий с окнами из жилых помещений - не менее 10 метров. Минимальные бытовые разрывы от стен жилых многоквартирных зданий с окнами из жилых помещений до других зданий и сооружений должны быть не менее 15 метров.</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В условиях реконструкции и в других особых градостроительных условиях при соответствующем обосновании указанные расстояния могут быть сокращены при соблюдении </w:t>
      </w:r>
      <w:r w:rsidRPr="009F35EA">
        <w:rPr>
          <w:rFonts w:ascii="Times New Roman" w:hAnsi="Times New Roman" w:cs="Times New Roman"/>
          <w:szCs w:val="22"/>
        </w:rPr>
        <w:lastRenderedPageBreak/>
        <w:t xml:space="preserve">норм инсоляции и освещенности и обеспечении </w:t>
      </w:r>
      <w:proofErr w:type="spellStart"/>
      <w:r w:rsidRPr="009F35EA">
        <w:rPr>
          <w:rFonts w:ascii="Times New Roman" w:hAnsi="Times New Roman" w:cs="Times New Roman"/>
          <w:szCs w:val="22"/>
        </w:rPr>
        <w:t>непросматриваемости</w:t>
      </w:r>
      <w:proofErr w:type="spellEnd"/>
      <w:r w:rsidRPr="009F35EA">
        <w:rPr>
          <w:rFonts w:ascii="Times New Roman" w:hAnsi="Times New Roman" w:cs="Times New Roman"/>
          <w:szCs w:val="22"/>
        </w:rPr>
        <w:t xml:space="preserve"> жилых помещений из окна в окно.</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3.11. В городских округах и городских поселениях размеры территории для постоянного хранения, временного хранения (парковки) и технического обслуживания легковых автомобилей всех категорий должны быть предусмотрены исходя из уровня автомобилизации.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Уровень автомобилизации в Ярославской области на расчетный срок составляет 250 легковых автомобилей на 1000 жителей, на градостроительный прогноз с учетом динамики уровня автомобилизации можно применять 300 легковых автомобилей.</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3.12. 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занятий физкультурой, хозяйственных целей и выгула собак, стоянки автомобилей и озеленения).</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Расчетные показатели минимально допустимого уровня обеспеченности населения элементами (площадками) дворового благоустройства приведены в </w:t>
      </w:r>
      <w:hyperlink w:anchor="P716" w:history="1">
        <w:r w:rsidRPr="009F35EA">
          <w:rPr>
            <w:rFonts w:ascii="Times New Roman" w:hAnsi="Times New Roman" w:cs="Times New Roman"/>
            <w:color w:val="0000FF"/>
            <w:szCs w:val="22"/>
          </w:rPr>
          <w:t>таблице 1.6.10</w:t>
        </w:r>
      </w:hyperlink>
      <w:r w:rsidRPr="009F35EA">
        <w:rPr>
          <w:rFonts w:ascii="Times New Roman" w:hAnsi="Times New Roman" w:cs="Times New Roman"/>
          <w:szCs w:val="22"/>
        </w:rPr>
        <w:t>.</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Число </w:t>
      </w:r>
      <w:proofErr w:type="spellStart"/>
      <w:r w:rsidRPr="009F35EA">
        <w:rPr>
          <w:rFonts w:ascii="Times New Roman" w:hAnsi="Times New Roman" w:cs="Times New Roman"/>
          <w:szCs w:val="22"/>
        </w:rPr>
        <w:t>машиномест</w:t>
      </w:r>
      <w:proofErr w:type="spellEnd"/>
      <w:r w:rsidRPr="009F35EA">
        <w:rPr>
          <w:rFonts w:ascii="Times New Roman" w:hAnsi="Times New Roman" w:cs="Times New Roman"/>
          <w:szCs w:val="22"/>
        </w:rPr>
        <w:t xml:space="preserve"> для стоянки автомобилей следует принимать по уровню автомобилизации на расчетный период.</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При соответствующем обосновании допускается уменьшать, но не более чем на 50 процентов удельные размеры площадок: для хозяйственных целей - при застройке жилыми зданиями 9 этажей и выше, для занятий физкультурой - при формировании единого физкультурно-оздоровительного комплекса микрорайона (квартала) для школьников и населения.</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Также в случае наличия в микрорайоне (квартале) зеленых насаждений общего пользования и соблюдения нормы обеспеченности микрорайона (квартала) озелененными территориями допускается уменьшать удельные размеры озеленения дворовых территорий на 50 процентов.</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3.13. На территории Ярославской области действуют линии градостроительного регулирования, приведенные в </w:t>
      </w:r>
      <w:hyperlink w:anchor="P1791" w:history="1">
        <w:r w:rsidRPr="009F35EA">
          <w:rPr>
            <w:rFonts w:ascii="Times New Roman" w:hAnsi="Times New Roman" w:cs="Times New Roman"/>
            <w:color w:val="0000FF"/>
            <w:szCs w:val="22"/>
          </w:rPr>
          <w:t>перечне</w:t>
        </w:r>
      </w:hyperlink>
      <w:r w:rsidRPr="009F35EA">
        <w:rPr>
          <w:rFonts w:ascii="Times New Roman" w:hAnsi="Times New Roman" w:cs="Times New Roman"/>
          <w:szCs w:val="22"/>
        </w:rPr>
        <w:t xml:space="preserve"> линий градостроительного проектирования (приложение 2 к региональным нормативам).</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Линии градостроительного регулирования устанавливаются проектами планировки территории и проектами межевания территории, а также проектами санитарно-защитных зон, проектами охранных зон памятников истории и культуры и другими нормативными правовыми и градостроительными документами.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 и регистрации их в информационной системе обеспечения градостроительной деятельности.</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right"/>
        <w:outlineLvl w:val="1"/>
        <w:rPr>
          <w:rFonts w:ascii="Times New Roman" w:hAnsi="Times New Roman" w:cs="Times New Roman"/>
          <w:szCs w:val="22"/>
        </w:rPr>
      </w:pPr>
      <w:r w:rsidRPr="009F35EA">
        <w:rPr>
          <w:rFonts w:ascii="Times New Roman" w:hAnsi="Times New Roman" w:cs="Times New Roman"/>
          <w:szCs w:val="22"/>
        </w:rPr>
        <w:t>Приложение 1</w:t>
      </w:r>
    </w:p>
    <w:p w:rsidR="009F35EA" w:rsidRPr="009F35EA" w:rsidRDefault="009F35EA" w:rsidP="009F35EA">
      <w:pPr>
        <w:pStyle w:val="ConsPlusNormal"/>
        <w:jc w:val="right"/>
        <w:rPr>
          <w:rFonts w:ascii="Times New Roman" w:hAnsi="Times New Roman" w:cs="Times New Roman"/>
          <w:szCs w:val="22"/>
        </w:rPr>
      </w:pPr>
      <w:r w:rsidRPr="009F35EA">
        <w:rPr>
          <w:rFonts w:ascii="Times New Roman" w:hAnsi="Times New Roman" w:cs="Times New Roman"/>
          <w:szCs w:val="22"/>
        </w:rPr>
        <w:t xml:space="preserve">к региональным </w:t>
      </w:r>
      <w:hyperlink w:anchor="P50" w:history="1">
        <w:r w:rsidRPr="009F35EA">
          <w:rPr>
            <w:rFonts w:ascii="Times New Roman" w:hAnsi="Times New Roman" w:cs="Times New Roman"/>
            <w:color w:val="0000FF"/>
            <w:szCs w:val="22"/>
          </w:rPr>
          <w:t>нормативам</w:t>
        </w:r>
      </w:hyperlink>
    </w:p>
    <w:p w:rsidR="009F35EA" w:rsidRPr="009F35EA" w:rsidRDefault="009F35EA" w:rsidP="009F35EA">
      <w:pPr>
        <w:pStyle w:val="ConsPlusNormal"/>
        <w:jc w:val="right"/>
        <w:rPr>
          <w:rFonts w:ascii="Times New Roman" w:hAnsi="Times New Roman" w:cs="Times New Roman"/>
          <w:szCs w:val="22"/>
        </w:rPr>
      </w:pPr>
      <w:r w:rsidRPr="009F35EA">
        <w:rPr>
          <w:rFonts w:ascii="Times New Roman" w:hAnsi="Times New Roman" w:cs="Times New Roman"/>
          <w:szCs w:val="22"/>
        </w:rPr>
        <w:t>градостроительного проектирования</w:t>
      </w:r>
    </w:p>
    <w:p w:rsidR="009F35EA" w:rsidRPr="009F35EA" w:rsidRDefault="009F35EA" w:rsidP="009F35EA">
      <w:pPr>
        <w:pStyle w:val="ConsPlusNormal"/>
        <w:jc w:val="right"/>
        <w:rPr>
          <w:rFonts w:ascii="Times New Roman" w:hAnsi="Times New Roman" w:cs="Times New Roman"/>
          <w:szCs w:val="22"/>
        </w:rPr>
      </w:pPr>
      <w:r w:rsidRPr="009F35EA">
        <w:rPr>
          <w:rFonts w:ascii="Times New Roman" w:hAnsi="Times New Roman" w:cs="Times New Roman"/>
          <w:szCs w:val="22"/>
        </w:rPr>
        <w:t>Ярославской области</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rPr>
          <w:rFonts w:ascii="Times New Roman" w:hAnsi="Times New Roman" w:cs="Times New Roman"/>
          <w:szCs w:val="22"/>
        </w:rPr>
      </w:pPr>
      <w:bookmarkStart w:id="11" w:name="P1773"/>
      <w:bookmarkEnd w:id="11"/>
      <w:r w:rsidRPr="009F35EA">
        <w:rPr>
          <w:rFonts w:ascii="Times New Roman" w:hAnsi="Times New Roman" w:cs="Times New Roman"/>
          <w:szCs w:val="22"/>
        </w:rPr>
        <w:t>ТЕРМИНЫ И ОПРЕДЕЛЕНИЯ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Бытовые разрывы - нормируемые расстояния между жилыми, жилыми и общественными, жилыми и производственными зданиями, а также жилыми частями многофункциональных и других зданий и сооружений, обусловленные жизнедеятельностью человека в местах проживания.</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Высота здания определяется разностью отметок поверхности проезда для пожарных машин и нижней границы открывающегося проема (окна) в наружной стене верхнего этажа, в том числе мансардного. Верхний технический этаж не учитывается.</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Градостроительная документация - документы территориального планирования, градостроительного зонирования и документация по планировке территории.</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Коэффициент застройки - отношение территории земельного участка, которая может быть </w:t>
      </w:r>
      <w:r w:rsidRPr="009F35EA">
        <w:rPr>
          <w:rFonts w:ascii="Times New Roman" w:hAnsi="Times New Roman" w:cs="Times New Roman"/>
          <w:szCs w:val="22"/>
        </w:rPr>
        <w:lastRenderedPageBreak/>
        <w:t>занята зданиями, ко всей площади участка (в процентах).</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Коэффициент плотности застройки - отношение площади всех этажей зданий и сооружений к площади участка.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Окна жилых помещений - остекленные проемы (глухие или открывающиеся) в наружных ограждающих конструкциях, ведущие непосредственно из жилых помещений, такие как окна, витражи, мансардные окна, а также балконные двери и другие подобные конструкции.</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right"/>
        <w:outlineLvl w:val="1"/>
        <w:rPr>
          <w:rFonts w:ascii="Times New Roman" w:hAnsi="Times New Roman" w:cs="Times New Roman"/>
          <w:szCs w:val="22"/>
        </w:rPr>
      </w:pPr>
      <w:r w:rsidRPr="009F35EA">
        <w:rPr>
          <w:rFonts w:ascii="Times New Roman" w:hAnsi="Times New Roman" w:cs="Times New Roman"/>
          <w:szCs w:val="22"/>
        </w:rPr>
        <w:t>Приложение 2</w:t>
      </w:r>
    </w:p>
    <w:p w:rsidR="009F35EA" w:rsidRPr="009F35EA" w:rsidRDefault="009F35EA" w:rsidP="009F35EA">
      <w:pPr>
        <w:pStyle w:val="ConsPlusNormal"/>
        <w:jc w:val="right"/>
        <w:rPr>
          <w:rFonts w:ascii="Times New Roman" w:hAnsi="Times New Roman" w:cs="Times New Roman"/>
          <w:szCs w:val="22"/>
        </w:rPr>
      </w:pPr>
      <w:r w:rsidRPr="009F35EA">
        <w:rPr>
          <w:rFonts w:ascii="Times New Roman" w:hAnsi="Times New Roman" w:cs="Times New Roman"/>
          <w:szCs w:val="22"/>
        </w:rPr>
        <w:t xml:space="preserve">к региональным </w:t>
      </w:r>
      <w:hyperlink w:anchor="P50" w:history="1">
        <w:r w:rsidRPr="009F35EA">
          <w:rPr>
            <w:rFonts w:ascii="Times New Roman" w:hAnsi="Times New Roman" w:cs="Times New Roman"/>
            <w:color w:val="0000FF"/>
            <w:szCs w:val="22"/>
          </w:rPr>
          <w:t>нормативам</w:t>
        </w:r>
      </w:hyperlink>
    </w:p>
    <w:p w:rsidR="009F35EA" w:rsidRPr="009F35EA" w:rsidRDefault="009F35EA" w:rsidP="009F35EA">
      <w:pPr>
        <w:pStyle w:val="ConsPlusNormal"/>
        <w:jc w:val="right"/>
        <w:rPr>
          <w:rFonts w:ascii="Times New Roman" w:hAnsi="Times New Roman" w:cs="Times New Roman"/>
          <w:szCs w:val="22"/>
        </w:rPr>
      </w:pPr>
      <w:r w:rsidRPr="009F35EA">
        <w:rPr>
          <w:rFonts w:ascii="Times New Roman" w:hAnsi="Times New Roman" w:cs="Times New Roman"/>
          <w:szCs w:val="22"/>
        </w:rPr>
        <w:t>градостроительного проектирования</w:t>
      </w:r>
    </w:p>
    <w:p w:rsidR="009F35EA" w:rsidRPr="009F35EA" w:rsidRDefault="009F35EA" w:rsidP="009F35EA">
      <w:pPr>
        <w:pStyle w:val="ConsPlusNormal"/>
        <w:jc w:val="right"/>
        <w:rPr>
          <w:rFonts w:ascii="Times New Roman" w:hAnsi="Times New Roman" w:cs="Times New Roman"/>
          <w:szCs w:val="22"/>
        </w:rPr>
      </w:pPr>
      <w:r w:rsidRPr="009F35EA">
        <w:rPr>
          <w:rFonts w:ascii="Times New Roman" w:hAnsi="Times New Roman" w:cs="Times New Roman"/>
          <w:szCs w:val="22"/>
        </w:rPr>
        <w:t>Ярославской области</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center"/>
        <w:rPr>
          <w:rFonts w:ascii="Times New Roman" w:hAnsi="Times New Roman" w:cs="Times New Roman"/>
          <w:szCs w:val="22"/>
        </w:rPr>
      </w:pPr>
      <w:bookmarkStart w:id="12" w:name="P1791"/>
      <w:bookmarkEnd w:id="12"/>
      <w:r w:rsidRPr="009F35EA">
        <w:rPr>
          <w:rFonts w:ascii="Times New Roman" w:hAnsi="Times New Roman" w:cs="Times New Roman"/>
          <w:szCs w:val="22"/>
        </w:rPr>
        <w:t>ПЕРЕЧЕНЬ</w:t>
      </w:r>
    </w:p>
    <w:p w:rsidR="009F35EA" w:rsidRPr="009F35EA" w:rsidRDefault="009F35EA" w:rsidP="009F35EA">
      <w:pPr>
        <w:pStyle w:val="ConsPlusNormal"/>
        <w:jc w:val="center"/>
        <w:rPr>
          <w:rFonts w:ascii="Times New Roman" w:hAnsi="Times New Roman" w:cs="Times New Roman"/>
          <w:szCs w:val="22"/>
        </w:rPr>
      </w:pPr>
      <w:r w:rsidRPr="009F35EA">
        <w:rPr>
          <w:rFonts w:ascii="Times New Roman" w:hAnsi="Times New Roman" w:cs="Times New Roman"/>
          <w:szCs w:val="22"/>
        </w:rPr>
        <w:t>линий градостроительного регулирования</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ind w:firstLine="540"/>
        <w:jc w:val="both"/>
        <w:rPr>
          <w:rFonts w:ascii="Times New Roman" w:hAnsi="Times New Roman" w:cs="Times New Roman"/>
          <w:szCs w:val="22"/>
        </w:rPr>
      </w:pPr>
      <w:proofErr w:type="gramStart"/>
      <w:r w:rsidRPr="009F35EA">
        <w:rPr>
          <w:rFonts w:ascii="Times New Roman" w:hAnsi="Times New Roman" w:cs="Times New Roman"/>
          <w:szCs w:val="22"/>
        </w:rPr>
        <w:t>Красные линии - линии, которые обозначают существующие, планируемые (изменяемые, вновь образуемые) границы территорий общего пользования, границы кварталов,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(один из параметров разрешенного строительства).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Отступ застройки - расстояние между красной линией или границей земельного участка и границей места допустимого размещения объекта капитального строительства (один из параметров разрешенного строительства).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Минимальный отступ от границ земельного участка - 1 м.</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9F35EA" w:rsidRPr="009F35EA" w:rsidRDefault="009F35EA" w:rsidP="009F35EA">
      <w:pPr>
        <w:pStyle w:val="ConsPlusNormal"/>
        <w:ind w:firstLine="540"/>
        <w:jc w:val="both"/>
        <w:rPr>
          <w:rFonts w:ascii="Times New Roman" w:hAnsi="Times New Roman" w:cs="Times New Roman"/>
          <w:szCs w:val="22"/>
        </w:rPr>
      </w:pPr>
      <w:proofErr w:type="gramStart"/>
      <w:r w:rsidRPr="009F35EA">
        <w:rPr>
          <w:rFonts w:ascii="Times New Roman" w:hAnsi="Times New Roman" w:cs="Times New Roman"/>
          <w:szCs w:val="22"/>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характеристик и на которых не допускается строительство зданий и сооружений, не имеющих отношения к эксплуатации железнодорожного транспорта.</w:t>
      </w:r>
      <w:proofErr w:type="gramEnd"/>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Границы территорий объектов культурного наследия (памятников, ансамблей и других) - границы земельных участков, непосредственно занимаемых памятниками и связанных с ними </w:t>
      </w:r>
      <w:r w:rsidRPr="009F35EA">
        <w:rPr>
          <w:rFonts w:ascii="Times New Roman" w:hAnsi="Times New Roman" w:cs="Times New Roman"/>
          <w:szCs w:val="22"/>
        </w:rPr>
        <w:lastRenderedPageBreak/>
        <w:t>исторически и функционально.</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Границы зон охраны объектов культурного наследия (памятников истории и культуры) - установленные на основании проекта зон охраны в соответствии с требованиями сохранения объектов культурного наследия и утвержденные в установленном порядке границы охранных зон, зон регулирования застройки и зон охраняемого ландшафта с определенным режимом их содержания.</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Границы историко-культурных заповедников - установленные на основании историко-культурного опорного плана (или иного документа) и утвержденные в соответствии с действующим законодательством границы историко-культурного заповедника - достопримечательного места, представляющего собой выдающийся целостный историко-культурный и природный комплекс.</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на участках земли и водного пространства.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Границы </w:t>
      </w:r>
      <w:proofErr w:type="spellStart"/>
      <w:r w:rsidRPr="009F35EA">
        <w:rPr>
          <w:rFonts w:ascii="Times New Roman" w:hAnsi="Times New Roman" w:cs="Times New Roman"/>
          <w:szCs w:val="22"/>
        </w:rPr>
        <w:t>водоохранных</w:t>
      </w:r>
      <w:proofErr w:type="spellEnd"/>
      <w:r w:rsidRPr="009F35EA">
        <w:rPr>
          <w:rFonts w:ascii="Times New Roman" w:hAnsi="Times New Roman" w:cs="Times New Roman"/>
          <w:szCs w:val="22"/>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xml:space="preserve">Границы прибрежных зон (полос) - границы территорий внутри </w:t>
      </w:r>
      <w:proofErr w:type="spellStart"/>
      <w:r w:rsidRPr="009F35EA">
        <w:rPr>
          <w:rFonts w:ascii="Times New Roman" w:hAnsi="Times New Roman" w:cs="Times New Roman"/>
          <w:szCs w:val="22"/>
        </w:rPr>
        <w:t>водоохранных</w:t>
      </w:r>
      <w:proofErr w:type="spellEnd"/>
      <w:r w:rsidRPr="009F35EA">
        <w:rPr>
          <w:rFonts w:ascii="Times New Roman" w:hAnsi="Times New Roman" w:cs="Times New Roman"/>
          <w:szCs w:val="22"/>
        </w:rPr>
        <w:t xml:space="preserve"> зон, на которых в соответствии с Водным </w:t>
      </w:r>
      <w:hyperlink r:id="rId47" w:history="1">
        <w:r w:rsidRPr="009F35EA">
          <w:rPr>
            <w:rFonts w:ascii="Times New Roman" w:hAnsi="Times New Roman" w:cs="Times New Roman"/>
            <w:color w:val="0000FF"/>
            <w:szCs w:val="22"/>
          </w:rPr>
          <w:t>кодексом</w:t>
        </w:r>
      </w:hyperlink>
      <w:r w:rsidRPr="009F35EA">
        <w:rPr>
          <w:rFonts w:ascii="Times New Roman" w:hAnsi="Times New Roman" w:cs="Times New Roman"/>
          <w:szCs w:val="22"/>
        </w:rPr>
        <w:t xml:space="preserve"> Российской Федерации вводятся дополнительные ограничения природопользования.</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Границы зон санитарной охраны источников питьевого водоснабжения - границы зон санитарной охраны в составе первого пояса, второго и третьего поясов,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границы I пояса (строгого режима) зоны санитарной охраны - границы территории расположения водозаборов, площадок всех водопроводных сооружений и водопроводящего канала;</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 границы II и III поясов (ограничений) зоны санитарной охраны - границы территории, предназначенной для предупреждения загрязнения воды источников водоснабжения.</w:t>
      </w:r>
    </w:p>
    <w:p w:rsidR="009F35EA" w:rsidRPr="009F35EA" w:rsidRDefault="009F35EA" w:rsidP="009F35EA">
      <w:pPr>
        <w:pStyle w:val="ConsPlusNormal"/>
        <w:ind w:firstLine="540"/>
        <w:jc w:val="both"/>
        <w:rPr>
          <w:rFonts w:ascii="Times New Roman" w:hAnsi="Times New Roman" w:cs="Times New Roman"/>
          <w:szCs w:val="22"/>
        </w:rPr>
      </w:pPr>
      <w:r w:rsidRPr="009F35EA">
        <w:rPr>
          <w:rFonts w:ascii="Times New Roman" w:hAnsi="Times New Roman" w:cs="Times New Roman"/>
          <w:szCs w:val="22"/>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действующими санитарными нормами и правилами.</w:t>
      </w: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jc w:val="both"/>
        <w:rPr>
          <w:rFonts w:ascii="Times New Roman" w:hAnsi="Times New Roman" w:cs="Times New Roman"/>
          <w:szCs w:val="22"/>
        </w:rPr>
      </w:pPr>
    </w:p>
    <w:p w:rsidR="009F35EA" w:rsidRPr="009F35EA" w:rsidRDefault="009F35EA" w:rsidP="009F35EA">
      <w:pPr>
        <w:pStyle w:val="ConsPlusNormal"/>
        <w:pBdr>
          <w:top w:val="single" w:sz="6" w:space="0" w:color="auto"/>
        </w:pBdr>
        <w:jc w:val="both"/>
        <w:rPr>
          <w:rFonts w:ascii="Times New Roman" w:hAnsi="Times New Roman" w:cs="Times New Roman"/>
          <w:szCs w:val="22"/>
        </w:rPr>
      </w:pPr>
    </w:p>
    <w:p w:rsidR="00975D65" w:rsidRPr="009F35EA" w:rsidRDefault="00975D65" w:rsidP="009F35EA">
      <w:pPr>
        <w:spacing w:after="0" w:line="240" w:lineRule="auto"/>
        <w:rPr>
          <w:rFonts w:ascii="Times New Roman" w:hAnsi="Times New Roman" w:cs="Times New Roman"/>
        </w:rPr>
      </w:pPr>
    </w:p>
    <w:sectPr w:rsidR="00975D65" w:rsidRPr="009F35EA" w:rsidSect="00E61E3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F35EA"/>
    <w:rsid w:val="0017045B"/>
    <w:rsid w:val="004C02BE"/>
    <w:rsid w:val="00586AB0"/>
    <w:rsid w:val="00975D65"/>
    <w:rsid w:val="009F3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BE"/>
  </w:style>
  <w:style w:type="paragraph" w:styleId="2">
    <w:name w:val="heading 2"/>
    <w:basedOn w:val="a"/>
    <w:link w:val="20"/>
    <w:uiPriority w:val="9"/>
    <w:qFormat/>
    <w:rsid w:val="004C0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C02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4C02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02B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C02B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4C02BE"/>
    <w:rPr>
      <w:rFonts w:asciiTheme="majorHAnsi" w:eastAsiaTheme="majorEastAsia" w:hAnsiTheme="majorHAnsi" w:cstheme="majorBidi"/>
      <w:b/>
      <w:bCs/>
      <w:i/>
      <w:iCs/>
      <w:color w:val="4F81BD" w:themeColor="accent1"/>
    </w:rPr>
  </w:style>
  <w:style w:type="character" w:styleId="a3">
    <w:name w:val="Strong"/>
    <w:basedOn w:val="a0"/>
    <w:uiPriority w:val="22"/>
    <w:qFormat/>
    <w:rsid w:val="004C02BE"/>
    <w:rPr>
      <w:b/>
      <w:bCs/>
    </w:rPr>
  </w:style>
  <w:style w:type="character" w:styleId="a4">
    <w:name w:val="Emphasis"/>
    <w:basedOn w:val="a0"/>
    <w:uiPriority w:val="20"/>
    <w:qFormat/>
    <w:rsid w:val="004C02BE"/>
    <w:rPr>
      <w:i/>
      <w:iCs/>
    </w:rPr>
  </w:style>
  <w:style w:type="paragraph" w:styleId="a5">
    <w:name w:val="List Paragraph"/>
    <w:basedOn w:val="a"/>
    <w:uiPriority w:val="34"/>
    <w:qFormat/>
    <w:rsid w:val="004C02BE"/>
    <w:pPr>
      <w:ind w:left="720"/>
      <w:contextualSpacing/>
    </w:pPr>
  </w:style>
  <w:style w:type="paragraph" w:customStyle="1" w:styleId="ConsPlusNormal">
    <w:name w:val="ConsPlusNormal"/>
    <w:rsid w:val="009F35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35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35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35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35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35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35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35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E2FD93A53360F47EE51883B2915C9F2B3CB382A8C48DEC4F88D280DCE4DEAEb7qEN" TargetMode="External"/><Relationship Id="rId18" Type="http://schemas.openxmlformats.org/officeDocument/2006/relationships/hyperlink" Target="consultantplus://offline/ref=1AE2FD93A53360F47EE51883B2915C9F2B3CB382AAC58DE04988D280DCE4DEAEb7qEN" TargetMode="External"/><Relationship Id="rId26" Type="http://schemas.openxmlformats.org/officeDocument/2006/relationships/hyperlink" Target="consultantplus://offline/ref=1AE2FD93A53360F47EE51883B2915C9F2B3CB382AAC487E94F88D280DCE4DEAE7E01AD5FA67FA1F272CA32b1qBN" TargetMode="External"/><Relationship Id="rId39" Type="http://schemas.openxmlformats.org/officeDocument/2006/relationships/hyperlink" Target="consultantplus://offline/ref=1AE2FD93A53360F47EE51883B2915C9F2B3CB382AAC487E94F88D280DCE4DEAE7E01AD5FA67FA1F272CA32b1qBN" TargetMode="External"/><Relationship Id="rId3" Type="http://schemas.openxmlformats.org/officeDocument/2006/relationships/webSettings" Target="webSettings.xml"/><Relationship Id="rId21" Type="http://schemas.openxmlformats.org/officeDocument/2006/relationships/hyperlink" Target="consultantplus://offline/ref=1AE2FD93A53360F47EE5068EA4FD029A2F3FEA8EAFC38EBF16D789DD8BEDD4F9394EF41DE273A8F6b7q1N" TargetMode="External"/><Relationship Id="rId34" Type="http://schemas.openxmlformats.org/officeDocument/2006/relationships/hyperlink" Target="consultantplus://offline/ref=1AE2FD93A53360F47EE5068EA4FD029A2C36EB8FA9C38EBF16D789DD8BEDD4F9394EF41DE272A0F2b7qAN" TargetMode="External"/><Relationship Id="rId42" Type="http://schemas.openxmlformats.org/officeDocument/2006/relationships/hyperlink" Target="consultantplus://offline/ref=1AE2FD93A53360F47EE51883B2915C9F2B3CB382AAC487E94F88D280DCE4DEAE7E01AD5FA67FA1F272CA32b1qBN" TargetMode="External"/><Relationship Id="rId47" Type="http://schemas.openxmlformats.org/officeDocument/2006/relationships/hyperlink" Target="consultantplus://offline/ref=1AE2FD93A53360F47EE5068EA4FD029A2F35EC8CAEC28EBF16D789DD8BbEqDN" TargetMode="External"/><Relationship Id="rId7" Type="http://schemas.openxmlformats.org/officeDocument/2006/relationships/hyperlink" Target="consultantplus://offline/ref=1AE2FD93A53360F47EE51883B2915C9F2B3CB382AAC487E94F88D280DCE4DEAEb7qEN" TargetMode="External"/><Relationship Id="rId12" Type="http://schemas.openxmlformats.org/officeDocument/2006/relationships/hyperlink" Target="consultantplus://offline/ref=1AE2FD93A53360F47EE51883B2915C9F2B3CB382A9CD81E04D88D280DCE4DEAEb7qEN" TargetMode="External"/><Relationship Id="rId17" Type="http://schemas.openxmlformats.org/officeDocument/2006/relationships/hyperlink" Target="consultantplus://offline/ref=1AE2FD93A53360F47EE51883B2915C9F2B3CB382ABC68CE84F88D280DCE4DEAEb7qEN" TargetMode="External"/><Relationship Id="rId25" Type="http://schemas.openxmlformats.org/officeDocument/2006/relationships/hyperlink" Target="consultantplus://offline/ref=1AE2FD93A53360F47EE5068EA4FD029A2C31E988ABC48EBF16D789DD8BEDD4F9394EF41DE270A7F6b7q4N" TargetMode="External"/><Relationship Id="rId33" Type="http://schemas.openxmlformats.org/officeDocument/2006/relationships/hyperlink" Target="consultantplus://offline/ref=1AE2FD93A53360F47EE5068EA4FD029A2F36EF8DA4C38EBF16D789DD8BEDD4F9394EF41DE272A0F2b7qBN" TargetMode="External"/><Relationship Id="rId38" Type="http://schemas.openxmlformats.org/officeDocument/2006/relationships/hyperlink" Target="consultantplus://offline/ref=1AE2FD93A53360F47EE5068EA4FD029A2F36EF8DA4C38EBF16D789DD8BEDD4F9394EF41DE272A0F2b7qBN" TargetMode="External"/><Relationship Id="rId46" Type="http://schemas.openxmlformats.org/officeDocument/2006/relationships/hyperlink" Target="consultantplus://offline/ref=1AE2FD93A53360F47EE5068EA4FD029A2C36EB8FA9C38EBF16D789DD8BEDD4F9394EF41DE272A0F2b7qAN" TargetMode="External"/><Relationship Id="rId2" Type="http://schemas.openxmlformats.org/officeDocument/2006/relationships/settings" Target="settings.xml"/><Relationship Id="rId16" Type="http://schemas.openxmlformats.org/officeDocument/2006/relationships/hyperlink" Target="consultantplus://offline/ref=1AE2FD93A53360F47EE51883B2915C9F2B3CB382ABC581EB4B88D280DCE4DEAEb7qEN" TargetMode="External"/><Relationship Id="rId20" Type="http://schemas.openxmlformats.org/officeDocument/2006/relationships/hyperlink" Target="consultantplus://offline/ref=1AE2FD93A53360F47EE5068EA4FD029A2F3FEA8EAFC38EBF16D789DD8BEDD4F9394EF41DE272A0F4b7q4N" TargetMode="External"/><Relationship Id="rId29" Type="http://schemas.openxmlformats.org/officeDocument/2006/relationships/hyperlink" Target="consultantplus://offline/ref=1AE2FD93A53360F47EE5068EA4FD029A2F35EC8BAEC58EBF16D789DD8BbEqDN" TargetMode="External"/><Relationship Id="rId41" Type="http://schemas.openxmlformats.org/officeDocument/2006/relationships/hyperlink" Target="consultantplus://offline/ref=1AE2FD93A53360F47EE5068EA4FD029A2F36EF8DA4C38EBF16D789DD8BEDD4F9394EF41DE272A0F2b7qBN" TargetMode="External"/><Relationship Id="rId1" Type="http://schemas.openxmlformats.org/officeDocument/2006/relationships/styles" Target="styles.xml"/><Relationship Id="rId6" Type="http://schemas.openxmlformats.org/officeDocument/2006/relationships/hyperlink" Target="consultantplus://offline/ref=1AE2FD93A53360F47EE51883B2915C9F2B3CB382A4C181EE4A88D280DCE4DEAE7E01AD5FA67FA1F272C834b1q9N" TargetMode="External"/><Relationship Id="rId11" Type="http://schemas.openxmlformats.org/officeDocument/2006/relationships/hyperlink" Target="consultantplus://offline/ref=1AE2FD93A53360F47EE51883B2915C9F2B3CB382A9C28DE94B88D280DCE4DEAEb7qEN" TargetMode="External"/><Relationship Id="rId24" Type="http://schemas.openxmlformats.org/officeDocument/2006/relationships/hyperlink" Target="consultantplus://offline/ref=1AE2FD93A53360F47EE51883B2915C9F2B3CB382AAC487E94F88D280DCE4DEAE7E01AD5FA67FA1F272CA32b1qBN" TargetMode="External"/><Relationship Id="rId32" Type="http://schemas.openxmlformats.org/officeDocument/2006/relationships/hyperlink" Target="consultantplus://offline/ref=1AE2FD93A53360F47EE5068EA4FD029A2C36EB8FA9C38EBF16D789DD8BEDD4F9394EF41DE272A0F2b7qAN" TargetMode="External"/><Relationship Id="rId37" Type="http://schemas.openxmlformats.org/officeDocument/2006/relationships/hyperlink" Target="consultantplus://offline/ref=1AE2FD93A53360F47EE5068EA4FD029A2F36EF8DA4C38EBF16D789DD8BEDD4F9394EF41DE272A0F2b7qBN" TargetMode="External"/><Relationship Id="rId40" Type="http://schemas.openxmlformats.org/officeDocument/2006/relationships/hyperlink" Target="consultantplus://offline/ref=1AE2FD93A53360F47EE5068EA4FD029A2C36EB8FA9C38EBF16D789DD8BEDD4F9394EF41DE272A0F2b7qAN" TargetMode="External"/><Relationship Id="rId45" Type="http://schemas.openxmlformats.org/officeDocument/2006/relationships/hyperlink" Target="consultantplus://offline/ref=1AE2FD93A53360F47EE5068EA4FD029A2C36EB8FA9C38EBF16D789DD8BEDD4F9394EF41DE272A0F2b7qAN" TargetMode="External"/><Relationship Id="rId5" Type="http://schemas.openxmlformats.org/officeDocument/2006/relationships/hyperlink" Target="consultantplus://offline/ref=1AE2FD93A53360F47EE5068EA4FD029A2F3FEA8EAFC38EBF16D789DD8BEDD4F9394EF41DE273A8F6b7q1N" TargetMode="External"/><Relationship Id="rId15" Type="http://schemas.openxmlformats.org/officeDocument/2006/relationships/hyperlink" Target="consultantplus://offline/ref=1AE2FD93A53360F47EE51883B2915C9F2B3CB382A8C28CEF4A88D280DCE4DEAEb7qEN" TargetMode="External"/><Relationship Id="rId23" Type="http://schemas.openxmlformats.org/officeDocument/2006/relationships/hyperlink" Target="consultantplus://offline/ref=1AE2FD93A53360F47EE51883B2915C9F2B3CB382A4C181EE4A88D280DCE4DEAE7E01AD5FA67FA1F272C834b1q9N" TargetMode="External"/><Relationship Id="rId28" Type="http://schemas.openxmlformats.org/officeDocument/2006/relationships/hyperlink" Target="consultantplus://offline/ref=1AE2FD93A53360F47EE5068EA4FD029A2C37E486AEC68EBF16D789DD8BbEqDN" TargetMode="External"/><Relationship Id="rId36" Type="http://schemas.openxmlformats.org/officeDocument/2006/relationships/hyperlink" Target="consultantplus://offline/ref=1AE2FD93A53360F47EE5068EA4FD029A2C36EB8FA9C38EBF16D789DD8BEDD4F9394EF41DE272A0F2b7qAN" TargetMode="External"/><Relationship Id="rId49" Type="http://schemas.openxmlformats.org/officeDocument/2006/relationships/theme" Target="theme/theme1.xml"/><Relationship Id="rId10" Type="http://schemas.openxmlformats.org/officeDocument/2006/relationships/hyperlink" Target="consultantplus://offline/ref=1AE2FD93A53360F47EE51883B2915C9F2B3CB382A9C082E14388D280DCE4DEAEb7qEN" TargetMode="External"/><Relationship Id="rId19" Type="http://schemas.openxmlformats.org/officeDocument/2006/relationships/hyperlink" Target="consultantplus://offline/ref=1AE2FD93A53360F47EE51883B2915C9F2B3CB382AACC8DED4E88D280DCE4DEAE7E01AD5FA67FA1F272CA37b1qEN" TargetMode="External"/><Relationship Id="rId31" Type="http://schemas.openxmlformats.org/officeDocument/2006/relationships/hyperlink" Target="consultantplus://offline/ref=1AE2FD93A53360F47EE51883B2915C9F2B3CB382AAC487E94F88D280DCE4DEAE7E01AD5FA67FA1F272CA32b1qBN" TargetMode="External"/><Relationship Id="rId44" Type="http://schemas.openxmlformats.org/officeDocument/2006/relationships/hyperlink" Target="consultantplus://offline/ref=1AE2FD93A53360F47EE5068EA4FD029A2F36EF8DA4C38EBF16D789DD8BEDD4F9394EF41DE272A0F2b7q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E2FD93A53360F47EE51883B2915C9F2B3CB382AEC68CE04B88D280DCE4DEAEb7qEN" TargetMode="External"/><Relationship Id="rId14" Type="http://schemas.openxmlformats.org/officeDocument/2006/relationships/hyperlink" Target="consultantplus://offline/ref=1AE2FD93A53360F47EE51883B2915C9F2B3CB382A8C083E14388D280DCE4DEAEb7qEN" TargetMode="External"/><Relationship Id="rId22" Type="http://schemas.openxmlformats.org/officeDocument/2006/relationships/hyperlink" Target="consultantplus://offline/ref=1AE2FD93A53360F47EE51883B2915C9F2B3CB382A4C181EE4A88D280DCE4DEAE7E01AD5FA67FA1F272CA31b1q9N" TargetMode="External"/><Relationship Id="rId27" Type="http://schemas.openxmlformats.org/officeDocument/2006/relationships/hyperlink" Target="consultantplus://offline/ref=1AE2FD93A53360F47EE5068EA4FD029A2F35EC8BAEC58EBF16D789DD8BbEqDN" TargetMode="External"/><Relationship Id="rId30" Type="http://schemas.openxmlformats.org/officeDocument/2006/relationships/hyperlink" Target="consultantplus://offline/ref=1AE2FD93A53360F47EE5068EA4FD029A2C37E486AEC68EBF16D789DD8BbEqDN" TargetMode="External"/><Relationship Id="rId35" Type="http://schemas.openxmlformats.org/officeDocument/2006/relationships/hyperlink" Target="consultantplus://offline/ref=1AE2FD93A53360F47EE51883B2915C9F2B3CB382AAC487E94F88D280DCE4DEAE7E01AD5FA67FA1F272CA32b1qBN" TargetMode="External"/><Relationship Id="rId43" Type="http://schemas.openxmlformats.org/officeDocument/2006/relationships/hyperlink" Target="consultantplus://offline/ref=1AE2FD93A53360F47EE5068EA4FD029A2C36EB8FA9C38EBF16D789DD8BEDD4F9394EF41DE272A0F2b7qAN" TargetMode="External"/><Relationship Id="rId48" Type="http://schemas.openxmlformats.org/officeDocument/2006/relationships/fontTable" Target="fontTable.xml"/><Relationship Id="rId8" Type="http://schemas.openxmlformats.org/officeDocument/2006/relationships/hyperlink" Target="consultantplus://offline/ref=1AE2FD93A53360F47EE51883B2915C9F2B3CB382AFCC81E94388D280DCE4DEAEb7q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11820</Words>
  <Characters>67377</Characters>
  <Application>Microsoft Office Word</Application>
  <DocSecurity>0</DocSecurity>
  <Lines>561</Lines>
  <Paragraphs>158</Paragraphs>
  <ScaleCrop>false</ScaleCrop>
  <Company/>
  <LinksUpToDate>false</LinksUpToDate>
  <CharactersWithSpaces>79039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ozo_2</dc:creator>
  <cp:lastModifiedBy>ozo_2</cp:lastModifiedBy>
  <cp:revision>1</cp:revision>
  <dcterms:created xsi:type="dcterms:W3CDTF">2018-01-17T13:42:00Z</dcterms:created>
  <dcterms:modified xsi:type="dcterms:W3CDTF">2018-01-17T13:43:00Z</dcterms:modified>
</cp:coreProperties>
</file>